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0938A" w14:textId="77777777" w:rsidR="00485FDB" w:rsidRDefault="00485FDB" w:rsidP="00E203C2">
      <w:bookmarkStart w:id="0" w:name="_GoBack"/>
      <w:bookmarkEnd w:id="0"/>
    </w:p>
    <w:p w14:paraId="01857276" w14:textId="2DB9A3E3" w:rsidR="00E203C2" w:rsidRDefault="00E203C2" w:rsidP="00E203C2">
      <w:r>
        <w:rPr>
          <w:noProof/>
          <w:lang w:eastAsia="en-GB" w:bidi="ar-SA"/>
        </w:rPr>
        <w:drawing>
          <wp:inline distT="0" distB="0" distL="0" distR="0" wp14:anchorId="750B6153" wp14:editId="45D10D9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784BFE7" w14:textId="77777777" w:rsidR="00E203C2" w:rsidRDefault="00E203C2" w:rsidP="00E203C2"/>
    <w:p w14:paraId="3AC2F31C" w14:textId="2E86FB0D" w:rsidR="00CA641D" w:rsidRPr="00A73428" w:rsidRDefault="00A73428" w:rsidP="00CA641D">
      <w:pPr>
        <w:rPr>
          <w:b/>
          <w:sz w:val="28"/>
          <w:szCs w:val="28"/>
        </w:rPr>
      </w:pPr>
      <w:r w:rsidRPr="00A73428">
        <w:rPr>
          <w:b/>
          <w:sz w:val="28"/>
          <w:szCs w:val="28"/>
        </w:rPr>
        <w:t>15</w:t>
      </w:r>
      <w:r w:rsidR="00FE591A" w:rsidRPr="00A73428">
        <w:rPr>
          <w:b/>
          <w:sz w:val="28"/>
          <w:szCs w:val="28"/>
        </w:rPr>
        <w:t xml:space="preserve"> </w:t>
      </w:r>
      <w:r w:rsidR="000F77DF" w:rsidRPr="00A73428">
        <w:rPr>
          <w:b/>
          <w:sz w:val="28"/>
          <w:szCs w:val="28"/>
        </w:rPr>
        <w:t>December</w:t>
      </w:r>
      <w:r w:rsidR="00CA641D" w:rsidRPr="00A73428">
        <w:rPr>
          <w:b/>
          <w:sz w:val="28"/>
          <w:szCs w:val="28"/>
        </w:rPr>
        <w:t xml:space="preserve"> 20</w:t>
      </w:r>
      <w:r w:rsidR="00602C1A" w:rsidRPr="00A73428">
        <w:rPr>
          <w:b/>
          <w:sz w:val="28"/>
          <w:szCs w:val="28"/>
        </w:rPr>
        <w:t>20</w:t>
      </w:r>
    </w:p>
    <w:p w14:paraId="63F557A8" w14:textId="64BEC9D7" w:rsidR="00CA641D" w:rsidRPr="006F39A6" w:rsidRDefault="00CA641D" w:rsidP="00CA641D">
      <w:pPr>
        <w:rPr>
          <w:b/>
          <w:sz w:val="28"/>
          <w:szCs w:val="28"/>
        </w:rPr>
      </w:pPr>
      <w:r w:rsidRPr="006F39A6">
        <w:rPr>
          <w:b/>
          <w:sz w:val="28"/>
          <w:szCs w:val="28"/>
        </w:rPr>
        <w:t>[</w:t>
      </w:r>
      <w:r w:rsidR="00A73428">
        <w:rPr>
          <w:b/>
          <w:sz w:val="28"/>
          <w:szCs w:val="28"/>
        </w:rPr>
        <w:t>145</w:t>
      </w:r>
      <w:r w:rsidRPr="006F39A6">
        <w:rPr>
          <w:b/>
          <w:sz w:val="28"/>
          <w:szCs w:val="28"/>
        </w:rPr>
        <w:t>-</w:t>
      </w:r>
      <w:r w:rsidR="006F39A6" w:rsidRPr="006F39A6">
        <w:rPr>
          <w:b/>
          <w:sz w:val="28"/>
          <w:szCs w:val="28"/>
        </w:rPr>
        <w:t>20</w:t>
      </w:r>
      <w:r w:rsidRPr="006F39A6">
        <w:rPr>
          <w:b/>
          <w:sz w:val="28"/>
          <w:szCs w:val="28"/>
        </w:rPr>
        <w:t>]</w:t>
      </w:r>
    </w:p>
    <w:p w14:paraId="5630A3BE" w14:textId="77777777" w:rsidR="0057615C" w:rsidRPr="0057615C" w:rsidRDefault="0057615C" w:rsidP="00690206">
      <w:pPr>
        <w:pStyle w:val="FSTitle"/>
        <w:rPr>
          <w:b/>
          <w:sz w:val="22"/>
        </w:rPr>
      </w:pPr>
    </w:p>
    <w:p w14:paraId="48073588" w14:textId="6FF32FB8" w:rsidR="00C466E8" w:rsidRPr="00062BFA" w:rsidRDefault="00092CDA" w:rsidP="00C466E8">
      <w:pPr>
        <w:pStyle w:val="FSTitle"/>
      </w:pPr>
      <w:r w:rsidRPr="005B7A73">
        <w:rPr>
          <w:b/>
        </w:rPr>
        <w:t>S</w:t>
      </w:r>
      <w:r w:rsidR="00B12F1E" w:rsidRPr="005B7A73">
        <w:rPr>
          <w:b/>
        </w:rPr>
        <w:t>upporting document</w:t>
      </w:r>
      <w:r w:rsidRPr="005B7A73">
        <w:rPr>
          <w:b/>
        </w:rPr>
        <w:t xml:space="preserve"> </w:t>
      </w:r>
      <w:r w:rsidR="00337F59" w:rsidRPr="00062BFA">
        <w:rPr>
          <w:b/>
        </w:rPr>
        <w:t>1</w:t>
      </w:r>
      <w:r w:rsidR="00C466E8">
        <w:rPr>
          <w:b/>
        </w:rPr>
        <w:t xml:space="preserve"> </w:t>
      </w:r>
      <w:r w:rsidR="00FC42B4">
        <w:rPr>
          <w:b/>
        </w:rPr>
        <w:t>(at Approval)</w:t>
      </w:r>
    </w:p>
    <w:p w14:paraId="579D8011" w14:textId="77777777" w:rsidR="00C466E8" w:rsidRPr="00062BFA" w:rsidRDefault="00C466E8" w:rsidP="00C466E8"/>
    <w:p w14:paraId="483E36FB" w14:textId="6A41D468" w:rsidR="00E203C2" w:rsidRPr="00062BFA" w:rsidRDefault="00962968" w:rsidP="00C466E8">
      <w:pPr>
        <w:pStyle w:val="FSTitle"/>
      </w:pPr>
      <w:r w:rsidRPr="00062BFA">
        <w:t xml:space="preserve">Food technology, </w:t>
      </w:r>
      <w:r w:rsidR="00FB20AC">
        <w:t xml:space="preserve">microbiological, </w:t>
      </w:r>
      <w:r w:rsidR="003C5EF6">
        <w:t>n</w:t>
      </w:r>
      <w:r w:rsidR="003C3654">
        <w:t>utrition</w:t>
      </w:r>
      <w:r w:rsidR="00FB20AC">
        <w:t xml:space="preserve">, </w:t>
      </w:r>
      <w:r w:rsidR="0081143B">
        <w:t>toxicolog</w:t>
      </w:r>
      <w:r w:rsidR="00990B8D">
        <w:t>y</w:t>
      </w:r>
      <w:r w:rsidR="00E502BF">
        <w:t xml:space="preserve"> </w:t>
      </w:r>
      <w:r w:rsidRPr="00062BFA">
        <w:t xml:space="preserve">and dietary </w:t>
      </w:r>
      <w:r w:rsidR="00986F11">
        <w:t xml:space="preserve">exposure </w:t>
      </w:r>
      <w:r w:rsidRPr="00062BFA">
        <w:t xml:space="preserve">assessment report </w:t>
      </w:r>
    </w:p>
    <w:p w14:paraId="68189F79" w14:textId="77777777" w:rsidR="00C466E8" w:rsidRDefault="00C466E8" w:rsidP="00690206">
      <w:pPr>
        <w:pStyle w:val="FSTitle"/>
      </w:pPr>
    </w:p>
    <w:p w14:paraId="15D01D1E" w14:textId="5E43BF8E" w:rsidR="00D056F1" w:rsidRPr="00062BFA" w:rsidRDefault="00C466E8" w:rsidP="00690206">
      <w:pPr>
        <w:pStyle w:val="FSTitle"/>
      </w:pPr>
      <w:r w:rsidRPr="00062BFA">
        <w:t>Application A1175</w:t>
      </w:r>
      <w:r>
        <w:t xml:space="preserve"> </w:t>
      </w:r>
      <w:r w:rsidR="00962968" w:rsidRPr="00062BFA">
        <w:t xml:space="preserve">Rapeseed protein </w:t>
      </w:r>
      <w:r w:rsidR="00775472">
        <w:t xml:space="preserve">isolate </w:t>
      </w:r>
      <w:r w:rsidR="00962968" w:rsidRPr="00062BFA">
        <w:t>as a novel food</w:t>
      </w:r>
    </w:p>
    <w:p w14:paraId="6BF9CAE2" w14:textId="77777777" w:rsidR="00E203C2" w:rsidRPr="00B37BF0" w:rsidRDefault="00E203C2" w:rsidP="00E203C2">
      <w:pPr>
        <w:pBdr>
          <w:bottom w:val="single" w:sz="12" w:space="1" w:color="auto"/>
        </w:pBdr>
        <w:spacing w:line="280" w:lineRule="exact"/>
        <w:rPr>
          <w:rFonts w:cs="Arial"/>
          <w:bCs/>
        </w:rPr>
      </w:pPr>
    </w:p>
    <w:p w14:paraId="68E928C6" w14:textId="77777777" w:rsidR="00E203C2" w:rsidRPr="00B37BF0" w:rsidRDefault="00E203C2" w:rsidP="00E203C2"/>
    <w:p w14:paraId="53CE2AB1" w14:textId="77777777" w:rsidR="00092CDA" w:rsidRPr="00092CDA" w:rsidRDefault="00092CDA" w:rsidP="00352CF2">
      <w:pPr>
        <w:pStyle w:val="Heading1"/>
        <w:spacing w:before="0"/>
      </w:pPr>
      <w:bookmarkStart w:id="1" w:name="_Toc286391001"/>
      <w:bookmarkStart w:id="2" w:name="_Toc300933414"/>
      <w:bookmarkStart w:id="3" w:name="_Toc38549477"/>
      <w:bookmarkStart w:id="4" w:name="_Toc38634135"/>
      <w:bookmarkStart w:id="5" w:name="_Toc39571007"/>
      <w:bookmarkStart w:id="6" w:name="_Toc39579262"/>
      <w:bookmarkStart w:id="7" w:name="_Toc39579325"/>
      <w:bookmarkStart w:id="8" w:name="_Toc39587083"/>
      <w:bookmarkStart w:id="9" w:name="_Toc39582475"/>
      <w:bookmarkStart w:id="10" w:name="_Toc40264890"/>
      <w:bookmarkStart w:id="11" w:name="_Toc40266366"/>
      <w:bookmarkStart w:id="12" w:name="_Toc40279698"/>
      <w:bookmarkStart w:id="13" w:name="_Toc40282000"/>
      <w:bookmarkStart w:id="14" w:name="_Toc40282161"/>
      <w:bookmarkStart w:id="15" w:name="_Toc40360492"/>
      <w:bookmarkStart w:id="16" w:name="_Toc40366882"/>
      <w:bookmarkStart w:id="17" w:name="_Toc40368214"/>
      <w:bookmarkStart w:id="18" w:name="_Toc40382821"/>
      <w:bookmarkStart w:id="19" w:name="_Toc40431022"/>
      <w:bookmarkStart w:id="20" w:name="_Toc40432960"/>
      <w:bookmarkStart w:id="21" w:name="_Toc40447645"/>
      <w:bookmarkStart w:id="22" w:name="_Toc40441174"/>
      <w:bookmarkStart w:id="23" w:name="_Toc40448510"/>
      <w:bookmarkStart w:id="24" w:name="_Toc40449937"/>
      <w:bookmarkStart w:id="25" w:name="_Toc40968282"/>
      <w:bookmarkStart w:id="26" w:name="_Toc41051004"/>
      <w:bookmarkStart w:id="27" w:name="_Toc41046004"/>
      <w:bookmarkStart w:id="28" w:name="_Toc41053462"/>
      <w:bookmarkStart w:id="29" w:name="_Toc44592633"/>
      <w:bookmarkStart w:id="30" w:name="_Toc44596145"/>
      <w:bookmarkStart w:id="31" w:name="_Toc44604540"/>
      <w:bookmarkStart w:id="32" w:name="_Toc54169689"/>
      <w:bookmarkStart w:id="33" w:name="_Toc56089978"/>
      <w:r w:rsidRPr="00092CDA">
        <w:t xml:space="preserve">Executive </w:t>
      </w:r>
      <w:r w:rsidR="00B12F1E">
        <w:t>s</w:t>
      </w:r>
      <w:r w:rsidRPr="00092CDA">
        <w:t>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7489E52" w14:textId="24BEB6D1" w:rsidR="00092CDA" w:rsidRDefault="00C94D8A" w:rsidP="00C94D8A">
      <w:pPr>
        <w:rPr>
          <w:lang w:bidi="ar-SA"/>
        </w:rPr>
      </w:pPr>
      <w:r>
        <w:t xml:space="preserve">FSANZ has assessed an application from </w:t>
      </w:r>
      <w:r>
        <w:rPr>
          <w:lang w:bidi="ar-SA"/>
        </w:rPr>
        <w:t>DSM Nutritional Products Asia Pacific to amend the Australia New Zealand Food Standards Code (the Code) to permit the use of rapeseed protein isolate as a novel food</w:t>
      </w:r>
      <w:r w:rsidR="0040428E">
        <w:rPr>
          <w:lang w:bidi="ar-SA"/>
        </w:rPr>
        <w:t>.</w:t>
      </w:r>
    </w:p>
    <w:p w14:paraId="5392824A" w14:textId="0C0883E9" w:rsidR="0040428E" w:rsidRDefault="0040428E" w:rsidP="00C94D8A">
      <w:pPr>
        <w:rPr>
          <w:lang w:bidi="ar-SA"/>
        </w:rPr>
      </w:pPr>
    </w:p>
    <w:p w14:paraId="5DFB58AB" w14:textId="57C90ECE" w:rsidR="00561E92" w:rsidRDefault="0040428E" w:rsidP="00C94D8A">
      <w:pPr>
        <w:rPr>
          <w:lang w:bidi="ar-SA"/>
        </w:rPr>
      </w:pPr>
      <w:r>
        <w:rPr>
          <w:lang w:bidi="ar-SA"/>
        </w:rPr>
        <w:t xml:space="preserve">Rapeseed protein isolate is intended to be used as </w:t>
      </w:r>
      <w:r w:rsidR="00C37C57">
        <w:rPr>
          <w:lang w:bidi="ar-SA"/>
        </w:rPr>
        <w:t xml:space="preserve">a </w:t>
      </w:r>
      <w:r>
        <w:rPr>
          <w:lang w:bidi="ar-SA"/>
        </w:rPr>
        <w:t>protein source</w:t>
      </w:r>
      <w:r w:rsidR="003B2E6F">
        <w:rPr>
          <w:lang w:bidi="ar-SA"/>
        </w:rPr>
        <w:t xml:space="preserve"> and ingredient</w:t>
      </w:r>
      <w:r>
        <w:rPr>
          <w:lang w:bidi="ar-SA"/>
        </w:rPr>
        <w:t xml:space="preserve"> in a range of foods</w:t>
      </w:r>
      <w:r w:rsidR="00E518B0">
        <w:rPr>
          <w:lang w:bidi="ar-SA"/>
        </w:rPr>
        <w:t xml:space="preserve">. </w:t>
      </w:r>
      <w:r w:rsidR="00BC268C">
        <w:rPr>
          <w:lang w:bidi="ar-SA"/>
        </w:rPr>
        <w:t xml:space="preserve">It is intended as a replacement for existing protein sources. </w:t>
      </w:r>
      <w:r w:rsidR="00E518B0">
        <w:rPr>
          <w:lang w:bidi="ar-SA"/>
        </w:rPr>
        <w:t xml:space="preserve">The </w:t>
      </w:r>
      <w:r w:rsidR="006750C6">
        <w:rPr>
          <w:lang w:bidi="ar-SA"/>
        </w:rPr>
        <w:t>a</w:t>
      </w:r>
      <w:r w:rsidR="00E518B0">
        <w:rPr>
          <w:lang w:bidi="ar-SA"/>
        </w:rPr>
        <w:t>pplicant provided</w:t>
      </w:r>
      <w:r w:rsidR="00BC462A">
        <w:rPr>
          <w:lang w:bidi="ar-SA"/>
        </w:rPr>
        <w:t xml:space="preserve"> typical use levels </w:t>
      </w:r>
      <w:r w:rsidR="00385923">
        <w:rPr>
          <w:lang w:bidi="ar-SA"/>
        </w:rPr>
        <w:t xml:space="preserve">from </w:t>
      </w:r>
      <w:r w:rsidR="003C09D2">
        <w:rPr>
          <w:lang w:bidi="ar-SA"/>
        </w:rPr>
        <w:t xml:space="preserve">2 </w:t>
      </w:r>
      <w:r w:rsidR="00385923">
        <w:rPr>
          <w:lang w:bidi="ar-SA"/>
        </w:rPr>
        <w:t xml:space="preserve">to </w:t>
      </w:r>
      <w:r w:rsidR="00A72F18">
        <w:rPr>
          <w:lang w:bidi="ar-SA"/>
        </w:rPr>
        <w:t>1</w:t>
      </w:r>
      <w:r w:rsidR="00385923">
        <w:rPr>
          <w:lang w:bidi="ar-SA"/>
        </w:rPr>
        <w:t>0%</w:t>
      </w:r>
      <w:r w:rsidR="00E518B0">
        <w:rPr>
          <w:lang w:bidi="ar-SA"/>
        </w:rPr>
        <w:t xml:space="preserve"> </w:t>
      </w:r>
      <w:r w:rsidR="005A5A5A">
        <w:rPr>
          <w:lang w:bidi="ar-SA"/>
        </w:rPr>
        <w:t>for</w:t>
      </w:r>
      <w:r w:rsidR="00E518B0">
        <w:rPr>
          <w:lang w:bidi="ar-SA"/>
        </w:rPr>
        <w:t xml:space="preserve"> FSANZ to undertake a more refined risk assessment</w:t>
      </w:r>
      <w:r>
        <w:rPr>
          <w:lang w:bidi="ar-SA"/>
        </w:rPr>
        <w:t xml:space="preserve">. </w:t>
      </w:r>
      <w:r w:rsidR="00165532">
        <w:rPr>
          <w:lang w:bidi="ar-SA"/>
        </w:rPr>
        <w:t xml:space="preserve">The </w:t>
      </w:r>
      <w:r w:rsidR="00EC624D">
        <w:rPr>
          <w:lang w:bidi="ar-SA"/>
        </w:rPr>
        <w:t>isolate</w:t>
      </w:r>
      <w:r w:rsidR="00165532">
        <w:rPr>
          <w:lang w:bidi="ar-SA"/>
        </w:rPr>
        <w:t>,</w:t>
      </w:r>
      <w:r w:rsidR="00CB0E57">
        <w:rPr>
          <w:lang w:bidi="ar-SA"/>
        </w:rPr>
        <w:t xml:space="preserve"> </w:t>
      </w:r>
      <w:r w:rsidR="00165532">
        <w:rPr>
          <w:lang w:bidi="ar-SA"/>
        </w:rPr>
        <w:t xml:space="preserve">which is </w:t>
      </w:r>
      <w:r w:rsidR="00CB0E57">
        <w:rPr>
          <w:rFonts w:cs="Arial"/>
          <w:lang w:bidi="ar-SA"/>
        </w:rPr>
        <w:t xml:space="preserve">at least </w:t>
      </w:r>
      <w:r w:rsidR="00CB0E57">
        <w:rPr>
          <w:lang w:bidi="ar-SA"/>
        </w:rPr>
        <w:t>90%</w:t>
      </w:r>
      <w:r w:rsidR="00EC624D">
        <w:rPr>
          <w:lang w:bidi="ar-SA"/>
        </w:rPr>
        <w:t xml:space="preserve"> </w:t>
      </w:r>
      <w:r w:rsidR="00165532">
        <w:rPr>
          <w:lang w:bidi="ar-SA"/>
        </w:rPr>
        <w:t xml:space="preserve">protein, </w:t>
      </w:r>
      <w:r w:rsidR="00EC624D">
        <w:rPr>
          <w:lang w:bidi="ar-SA"/>
        </w:rPr>
        <w:t xml:space="preserve">also provides </w:t>
      </w:r>
      <w:r w:rsidR="00526D72">
        <w:rPr>
          <w:lang w:bidi="ar-SA"/>
        </w:rPr>
        <w:t xml:space="preserve">desirable functional </w:t>
      </w:r>
      <w:r w:rsidR="00165532">
        <w:rPr>
          <w:lang w:bidi="ar-SA"/>
        </w:rPr>
        <w:t xml:space="preserve">and sensory </w:t>
      </w:r>
      <w:r w:rsidR="00F51C67">
        <w:rPr>
          <w:lang w:bidi="ar-SA"/>
        </w:rPr>
        <w:t>properties</w:t>
      </w:r>
      <w:r w:rsidR="00EC624D">
        <w:rPr>
          <w:lang w:bidi="ar-SA"/>
        </w:rPr>
        <w:t xml:space="preserve"> in food.</w:t>
      </w:r>
    </w:p>
    <w:p w14:paraId="2570770B" w14:textId="77777777" w:rsidR="00561E92" w:rsidRDefault="00561E92" w:rsidP="00C94D8A">
      <w:pPr>
        <w:rPr>
          <w:lang w:bidi="ar-SA"/>
        </w:rPr>
      </w:pPr>
    </w:p>
    <w:p w14:paraId="3DB93E1D" w14:textId="39957E2E" w:rsidR="0040428E" w:rsidRDefault="00E56727" w:rsidP="00C94D8A">
      <w:pPr>
        <w:rPr>
          <w:lang w:bidi="ar-SA"/>
        </w:rPr>
      </w:pPr>
      <w:r>
        <w:rPr>
          <w:lang w:bidi="ar-SA"/>
        </w:rPr>
        <w:t>The</w:t>
      </w:r>
      <w:r w:rsidR="005E3218">
        <w:rPr>
          <w:lang w:bidi="ar-SA"/>
        </w:rPr>
        <w:t xml:space="preserve"> rapeseed protein isolate comes from </w:t>
      </w:r>
      <w:r w:rsidR="000A4720">
        <w:rPr>
          <w:lang w:bidi="ar-SA"/>
        </w:rPr>
        <w:t xml:space="preserve">the </w:t>
      </w:r>
      <w:r w:rsidR="00E146C2">
        <w:rPr>
          <w:lang w:bidi="ar-SA"/>
        </w:rPr>
        <w:t xml:space="preserve">following </w:t>
      </w:r>
      <w:r w:rsidR="005E3218" w:rsidRPr="00C94725">
        <w:rPr>
          <w:i/>
          <w:lang w:bidi="ar-SA"/>
        </w:rPr>
        <w:t>Brassica</w:t>
      </w:r>
      <w:r w:rsidR="005E3218">
        <w:rPr>
          <w:lang w:bidi="ar-SA"/>
        </w:rPr>
        <w:t xml:space="preserve"> </w:t>
      </w:r>
      <w:r w:rsidR="00E146C2">
        <w:rPr>
          <w:lang w:bidi="ar-SA"/>
        </w:rPr>
        <w:t>species</w:t>
      </w:r>
      <w:r w:rsidR="000C2738">
        <w:rPr>
          <w:lang w:bidi="ar-SA"/>
        </w:rPr>
        <w:t>:</w:t>
      </w:r>
      <w:r w:rsidR="000A4720">
        <w:rPr>
          <w:lang w:bidi="ar-SA"/>
        </w:rPr>
        <w:t xml:space="preserve"> </w:t>
      </w:r>
      <w:r w:rsidR="000A4720" w:rsidRPr="00FB3C21">
        <w:rPr>
          <w:i/>
          <w:lang w:bidi="ar-SA"/>
        </w:rPr>
        <w:t>Brassica napus, Brassica rapa</w:t>
      </w:r>
      <w:r w:rsidR="000A4720">
        <w:rPr>
          <w:lang w:bidi="ar-SA"/>
        </w:rPr>
        <w:t xml:space="preserve"> and </w:t>
      </w:r>
      <w:r w:rsidR="000A4720" w:rsidRPr="00FB3C21">
        <w:rPr>
          <w:i/>
          <w:lang w:bidi="ar-SA"/>
        </w:rPr>
        <w:t>Brassica juncea</w:t>
      </w:r>
      <w:r w:rsidR="00493553">
        <w:rPr>
          <w:i/>
          <w:lang w:bidi="ar-SA"/>
        </w:rPr>
        <w:t>.</w:t>
      </w:r>
      <w:r w:rsidR="00493553" w:rsidRPr="00493553">
        <w:rPr>
          <w:lang w:bidi="ar-SA"/>
        </w:rPr>
        <w:t xml:space="preserve"> </w:t>
      </w:r>
      <w:r w:rsidR="0010447E" w:rsidRPr="007308A9">
        <w:rPr>
          <w:lang w:bidi="ar-SA"/>
        </w:rPr>
        <w:t xml:space="preserve">Modern cultivars of these </w:t>
      </w:r>
      <w:r w:rsidR="00493553" w:rsidRPr="007308A9">
        <w:rPr>
          <w:lang w:bidi="ar-SA"/>
        </w:rPr>
        <w:t>species</w:t>
      </w:r>
      <w:r w:rsidR="005E3218" w:rsidRPr="007308A9">
        <w:rPr>
          <w:lang w:bidi="ar-SA"/>
        </w:rPr>
        <w:t xml:space="preserve"> are </w:t>
      </w:r>
      <w:r w:rsidR="00F84A0E" w:rsidRPr="007308A9">
        <w:rPr>
          <w:lang w:bidi="ar-SA"/>
        </w:rPr>
        <w:t xml:space="preserve">naturally </w:t>
      </w:r>
      <w:r w:rsidR="005E3218" w:rsidRPr="007308A9">
        <w:rPr>
          <w:lang w:bidi="ar-SA"/>
        </w:rPr>
        <w:t xml:space="preserve">low in </w:t>
      </w:r>
      <w:r w:rsidR="00E56034" w:rsidRPr="007308A9">
        <w:rPr>
          <w:lang w:bidi="ar-SA"/>
        </w:rPr>
        <w:t>the anti-nutritional factors</w:t>
      </w:r>
      <w:r w:rsidR="0077593B" w:rsidRPr="007308A9">
        <w:rPr>
          <w:lang w:bidi="ar-SA"/>
        </w:rPr>
        <w:t>,</w:t>
      </w:r>
      <w:r w:rsidR="00E56034" w:rsidRPr="007308A9">
        <w:rPr>
          <w:lang w:bidi="ar-SA"/>
        </w:rPr>
        <w:t xml:space="preserve"> </w:t>
      </w:r>
      <w:r w:rsidR="005E3218" w:rsidRPr="007308A9">
        <w:rPr>
          <w:lang w:bidi="ar-SA"/>
        </w:rPr>
        <w:t>erucic acid and glucosinolates</w:t>
      </w:r>
      <w:r w:rsidR="00F84A0E" w:rsidRPr="007308A9">
        <w:rPr>
          <w:lang w:bidi="ar-SA"/>
        </w:rPr>
        <w:t>,</w:t>
      </w:r>
      <w:r w:rsidR="00F84A0E">
        <w:rPr>
          <w:lang w:bidi="ar-SA"/>
        </w:rPr>
        <w:t xml:space="preserve"> </w:t>
      </w:r>
      <w:r w:rsidR="00BF31E2">
        <w:rPr>
          <w:lang w:bidi="ar-SA"/>
        </w:rPr>
        <w:t>which can</w:t>
      </w:r>
      <w:r w:rsidR="00F84A0E">
        <w:rPr>
          <w:lang w:bidi="ar-SA"/>
        </w:rPr>
        <w:t xml:space="preserve"> </w:t>
      </w:r>
      <w:r w:rsidR="00A2139A">
        <w:rPr>
          <w:lang w:bidi="ar-SA"/>
        </w:rPr>
        <w:t xml:space="preserve">cause </w:t>
      </w:r>
      <w:r w:rsidR="00F84A0E">
        <w:rPr>
          <w:lang w:bidi="ar-SA"/>
        </w:rPr>
        <w:t>adverse effects</w:t>
      </w:r>
      <w:r w:rsidR="00A2139A">
        <w:rPr>
          <w:lang w:bidi="ar-SA"/>
        </w:rPr>
        <w:t xml:space="preserve"> at sufficiently high doses</w:t>
      </w:r>
      <w:r w:rsidR="00DE3535" w:rsidRPr="002A5456">
        <w:rPr>
          <w:lang w:bidi="ar-SA"/>
        </w:rPr>
        <w:t>, therefore</w:t>
      </w:r>
      <w:r w:rsidR="00B364C7">
        <w:rPr>
          <w:lang w:bidi="ar-SA"/>
        </w:rPr>
        <w:t xml:space="preserve"> the</w:t>
      </w:r>
      <w:r w:rsidR="000B6A9D">
        <w:rPr>
          <w:lang w:bidi="ar-SA"/>
        </w:rPr>
        <w:t xml:space="preserve"> </w:t>
      </w:r>
      <w:r w:rsidR="00D02FFC" w:rsidRPr="00D02FFC">
        <w:rPr>
          <w:i/>
          <w:lang w:bidi="ar-SA"/>
        </w:rPr>
        <w:t>Brassica</w:t>
      </w:r>
      <w:r w:rsidR="00D02FFC">
        <w:rPr>
          <w:lang w:bidi="ar-SA"/>
        </w:rPr>
        <w:t xml:space="preserve"> species for sourcing</w:t>
      </w:r>
      <w:r w:rsidR="000B6A9D">
        <w:rPr>
          <w:lang w:bidi="ar-SA"/>
        </w:rPr>
        <w:t xml:space="preserve"> rapeseed protein isolate </w:t>
      </w:r>
      <w:r w:rsidR="00D02FFC">
        <w:rPr>
          <w:lang w:bidi="ar-SA"/>
        </w:rPr>
        <w:t>from</w:t>
      </w:r>
      <w:r w:rsidR="000B6A9D">
        <w:rPr>
          <w:lang w:bidi="ar-SA"/>
        </w:rPr>
        <w:t xml:space="preserve"> </w:t>
      </w:r>
      <w:r w:rsidR="00D02FFC">
        <w:rPr>
          <w:lang w:bidi="ar-SA"/>
        </w:rPr>
        <w:t>is an important consideration</w:t>
      </w:r>
      <w:r w:rsidR="00B364C7">
        <w:rPr>
          <w:lang w:bidi="ar-SA"/>
        </w:rPr>
        <w:t xml:space="preserve"> for </w:t>
      </w:r>
      <w:r w:rsidR="00D200E7">
        <w:rPr>
          <w:lang w:bidi="ar-SA"/>
        </w:rPr>
        <w:t xml:space="preserve">its </w:t>
      </w:r>
      <w:r w:rsidR="00B364C7">
        <w:rPr>
          <w:lang w:bidi="ar-SA"/>
        </w:rPr>
        <w:t>addition to food</w:t>
      </w:r>
      <w:r w:rsidR="000B6A9D">
        <w:rPr>
          <w:lang w:bidi="ar-SA"/>
        </w:rPr>
        <w:t xml:space="preserve">. The anti-nutritional </w:t>
      </w:r>
      <w:r w:rsidR="005E034D">
        <w:rPr>
          <w:lang w:bidi="ar-SA"/>
        </w:rPr>
        <w:t>factors are</w:t>
      </w:r>
      <w:r>
        <w:rPr>
          <w:lang w:bidi="ar-SA"/>
        </w:rPr>
        <w:t xml:space="preserve"> reduced </w:t>
      </w:r>
      <w:r w:rsidR="00F84A0E">
        <w:rPr>
          <w:lang w:bidi="ar-SA"/>
        </w:rPr>
        <w:t xml:space="preserve">further </w:t>
      </w:r>
      <w:r>
        <w:rPr>
          <w:lang w:bidi="ar-SA"/>
        </w:rPr>
        <w:t>during the manufactur</w:t>
      </w:r>
      <w:r w:rsidR="00D200E7">
        <w:rPr>
          <w:lang w:bidi="ar-SA"/>
        </w:rPr>
        <w:t>ing process</w:t>
      </w:r>
      <w:r>
        <w:rPr>
          <w:lang w:bidi="ar-SA"/>
        </w:rPr>
        <w:t xml:space="preserve">. </w:t>
      </w:r>
      <w:r w:rsidR="00EE368F">
        <w:rPr>
          <w:lang w:bidi="ar-SA"/>
        </w:rPr>
        <w:t xml:space="preserve">The collective term canola </w:t>
      </w:r>
      <w:r w:rsidR="00524024">
        <w:rPr>
          <w:lang w:bidi="ar-SA"/>
        </w:rPr>
        <w:t>can be</w:t>
      </w:r>
      <w:r w:rsidR="00D200E7">
        <w:rPr>
          <w:lang w:bidi="ar-SA"/>
        </w:rPr>
        <w:t xml:space="preserve"> use</w:t>
      </w:r>
      <w:r w:rsidR="00524024">
        <w:rPr>
          <w:lang w:bidi="ar-SA"/>
        </w:rPr>
        <w:t>d</w:t>
      </w:r>
      <w:r w:rsidR="00EE368F">
        <w:rPr>
          <w:lang w:bidi="ar-SA"/>
        </w:rPr>
        <w:t xml:space="preserve"> for </w:t>
      </w:r>
      <w:r w:rsidR="00EE368F" w:rsidRPr="00C94725">
        <w:rPr>
          <w:i/>
          <w:lang w:bidi="ar-SA"/>
        </w:rPr>
        <w:t>Brassica</w:t>
      </w:r>
      <w:r w:rsidR="00EE368F">
        <w:rPr>
          <w:lang w:bidi="ar-SA"/>
        </w:rPr>
        <w:t xml:space="preserve"> species</w:t>
      </w:r>
      <w:r w:rsidR="00541B06">
        <w:rPr>
          <w:lang w:bidi="ar-SA"/>
        </w:rPr>
        <w:t xml:space="preserve">: </w:t>
      </w:r>
      <w:r w:rsidR="00541B06" w:rsidRPr="00FB3C21">
        <w:rPr>
          <w:i/>
          <w:lang w:bidi="ar-SA"/>
        </w:rPr>
        <w:t>Brassica napus, Brassica rapa</w:t>
      </w:r>
      <w:r w:rsidR="00541B06">
        <w:rPr>
          <w:lang w:bidi="ar-SA"/>
        </w:rPr>
        <w:t xml:space="preserve"> and </w:t>
      </w:r>
      <w:r w:rsidR="00541B06" w:rsidRPr="00FB3C21">
        <w:rPr>
          <w:i/>
          <w:lang w:bidi="ar-SA"/>
        </w:rPr>
        <w:t>Brassica juncea</w:t>
      </w:r>
      <w:r w:rsidR="00EE368F">
        <w:rPr>
          <w:lang w:bidi="ar-SA"/>
        </w:rPr>
        <w:t xml:space="preserve"> that are low in erucic acid and glucosinolates</w:t>
      </w:r>
      <w:r w:rsidR="006C3D0B">
        <w:rPr>
          <w:lang w:bidi="ar-SA"/>
        </w:rPr>
        <w:t xml:space="preserve"> and intended for use in food</w:t>
      </w:r>
      <w:r w:rsidR="00EE368F">
        <w:rPr>
          <w:lang w:bidi="ar-SA"/>
        </w:rPr>
        <w:t>.</w:t>
      </w:r>
    </w:p>
    <w:p w14:paraId="725EE55B" w14:textId="77777777" w:rsidR="005E3C20" w:rsidRDefault="005E3C20" w:rsidP="00C94D8A">
      <w:pPr>
        <w:rPr>
          <w:lang w:bidi="ar-SA"/>
        </w:rPr>
      </w:pPr>
    </w:p>
    <w:p w14:paraId="6456985B" w14:textId="5E242B44" w:rsidR="00EC624D" w:rsidRDefault="00DF485D" w:rsidP="00C94D8A">
      <w:pPr>
        <w:rPr>
          <w:lang w:bidi="ar-SA"/>
        </w:rPr>
      </w:pPr>
      <w:r>
        <w:rPr>
          <w:lang w:bidi="ar-SA"/>
        </w:rPr>
        <w:t>Th</w:t>
      </w:r>
      <w:r w:rsidR="00EC624D">
        <w:rPr>
          <w:lang w:bidi="ar-SA"/>
        </w:rPr>
        <w:t xml:space="preserve">e food technology assessment concluded that rapeseed protein isolate when used as protein source </w:t>
      </w:r>
      <w:r w:rsidR="00C20BBB">
        <w:rPr>
          <w:lang w:bidi="ar-SA"/>
        </w:rPr>
        <w:t>as a replacement for other protein sources</w:t>
      </w:r>
      <w:r w:rsidR="00F5011F">
        <w:rPr>
          <w:lang w:bidi="ar-SA"/>
        </w:rPr>
        <w:t xml:space="preserve"> </w:t>
      </w:r>
      <w:r w:rsidR="00EC624D">
        <w:rPr>
          <w:lang w:bidi="ar-SA"/>
        </w:rPr>
        <w:t>in a range of foods is technolog</w:t>
      </w:r>
      <w:r w:rsidR="00FF4073">
        <w:rPr>
          <w:lang w:bidi="ar-SA"/>
        </w:rPr>
        <w:t>ically justified in the quantities</w:t>
      </w:r>
      <w:r>
        <w:rPr>
          <w:lang w:bidi="ar-SA"/>
        </w:rPr>
        <w:t xml:space="preserve"> and form proposed.</w:t>
      </w:r>
      <w:r w:rsidR="00C20BBB" w:rsidRPr="00C20BBB">
        <w:rPr>
          <w:lang w:bidi="ar-SA"/>
        </w:rPr>
        <w:t xml:space="preserve"> </w:t>
      </w:r>
      <w:r w:rsidR="00C20BBB">
        <w:rPr>
          <w:lang w:bidi="ar-SA"/>
        </w:rPr>
        <w:t xml:space="preserve">It is suitable for addition at typical use levels </w:t>
      </w:r>
      <w:r w:rsidR="009A6DAD">
        <w:rPr>
          <w:lang w:bidi="ar-SA"/>
        </w:rPr>
        <w:t xml:space="preserve">from 2 </w:t>
      </w:r>
      <w:r w:rsidR="00C20BBB">
        <w:rPr>
          <w:lang w:bidi="ar-SA"/>
        </w:rPr>
        <w:t>to 10% in a range of foods</w:t>
      </w:r>
      <w:r w:rsidR="00493553">
        <w:rPr>
          <w:lang w:bidi="ar-SA"/>
        </w:rPr>
        <w:t xml:space="preserve"> and up to maximum use levels of 30%</w:t>
      </w:r>
      <w:r w:rsidR="002A31D3">
        <w:rPr>
          <w:lang w:bidi="ar-SA"/>
        </w:rPr>
        <w:t xml:space="preserve"> in meat analog</w:t>
      </w:r>
      <w:r w:rsidR="009C38C6">
        <w:rPr>
          <w:lang w:bidi="ar-SA"/>
        </w:rPr>
        <w:t>u</w:t>
      </w:r>
      <w:r w:rsidR="002A31D3">
        <w:rPr>
          <w:lang w:bidi="ar-SA"/>
        </w:rPr>
        <w:t>es and protein-based products only</w:t>
      </w:r>
      <w:r w:rsidR="009A6DAD">
        <w:rPr>
          <w:lang w:bidi="ar-SA"/>
        </w:rPr>
        <w:t>.</w:t>
      </w:r>
      <w:r w:rsidR="00A85902">
        <w:rPr>
          <w:lang w:bidi="ar-SA"/>
        </w:rPr>
        <w:t xml:space="preserve"> </w:t>
      </w:r>
      <w:r w:rsidR="009A6DAD">
        <w:rPr>
          <w:lang w:bidi="ar-SA"/>
        </w:rPr>
        <w:t>The</w:t>
      </w:r>
      <w:r w:rsidR="00A85902">
        <w:rPr>
          <w:lang w:bidi="ar-SA"/>
        </w:rPr>
        <w:t xml:space="preserve"> typical use levels reflect </w:t>
      </w:r>
      <w:r w:rsidR="00857A1A">
        <w:rPr>
          <w:lang w:bidi="ar-SA"/>
        </w:rPr>
        <w:t xml:space="preserve">those </w:t>
      </w:r>
      <w:r w:rsidR="009A6DAD">
        <w:rPr>
          <w:lang w:bidi="ar-SA"/>
        </w:rPr>
        <w:t xml:space="preserve">more </w:t>
      </w:r>
      <w:r w:rsidR="00A85902">
        <w:rPr>
          <w:lang w:bidi="ar-SA"/>
        </w:rPr>
        <w:t xml:space="preserve">likely </w:t>
      </w:r>
      <w:r w:rsidR="00857A1A">
        <w:rPr>
          <w:lang w:bidi="ar-SA"/>
        </w:rPr>
        <w:t xml:space="preserve">to be </w:t>
      </w:r>
      <w:r w:rsidR="00A85902">
        <w:rPr>
          <w:lang w:bidi="ar-SA"/>
        </w:rPr>
        <w:t>use</w:t>
      </w:r>
      <w:r w:rsidR="00857A1A">
        <w:rPr>
          <w:lang w:bidi="ar-SA"/>
        </w:rPr>
        <w:t>d</w:t>
      </w:r>
      <w:r w:rsidR="00A85902">
        <w:rPr>
          <w:lang w:bidi="ar-SA"/>
        </w:rPr>
        <w:t xml:space="preserve"> by food manufacturers.</w:t>
      </w:r>
    </w:p>
    <w:p w14:paraId="7D6AEDC9" w14:textId="77777777" w:rsidR="00CE204D" w:rsidRDefault="00CE204D" w:rsidP="00C94D8A">
      <w:pPr>
        <w:rPr>
          <w:lang w:bidi="ar-SA"/>
        </w:rPr>
      </w:pPr>
    </w:p>
    <w:p w14:paraId="5A981242" w14:textId="0BCBA69A" w:rsidR="00E82017" w:rsidRPr="00A2491D" w:rsidRDefault="00E82017" w:rsidP="00E82017">
      <w:pPr>
        <w:rPr>
          <w:lang w:bidi="ar-SA"/>
        </w:rPr>
      </w:pPr>
      <w:r>
        <w:rPr>
          <w:lang w:bidi="ar-SA"/>
        </w:rPr>
        <w:t>FSANZ concludes that rapeseed protein isolate do</w:t>
      </w:r>
      <w:r w:rsidR="0068468B">
        <w:rPr>
          <w:lang w:bidi="ar-SA"/>
        </w:rPr>
        <w:t>es</w:t>
      </w:r>
      <w:r>
        <w:rPr>
          <w:lang w:bidi="ar-SA"/>
        </w:rPr>
        <w:t xml:space="preserve"> not pose a microbiological risk for </w:t>
      </w:r>
      <w:r w:rsidRPr="00B04989">
        <w:rPr>
          <w:i/>
          <w:lang w:bidi="ar-SA"/>
        </w:rPr>
        <w:t>Salmonella</w:t>
      </w:r>
      <w:r>
        <w:rPr>
          <w:lang w:bidi="ar-SA"/>
        </w:rPr>
        <w:t xml:space="preserve"> spp. </w:t>
      </w:r>
      <w:r w:rsidR="001533C5">
        <w:rPr>
          <w:lang w:bidi="ar-SA"/>
        </w:rPr>
        <w:t xml:space="preserve">when used as an ingredient </w:t>
      </w:r>
      <w:r>
        <w:rPr>
          <w:lang w:bidi="ar-SA"/>
        </w:rPr>
        <w:t xml:space="preserve">in some types of </w:t>
      </w:r>
      <w:r w:rsidRPr="009849FB">
        <w:rPr>
          <w:lang w:bidi="ar-SA"/>
        </w:rPr>
        <w:t>manufactured convenience foods</w:t>
      </w:r>
      <w:r>
        <w:rPr>
          <w:lang w:bidi="ar-SA"/>
        </w:rPr>
        <w:t xml:space="preserve"> that do not undergo a final microbiocidal step</w:t>
      </w:r>
      <w:r w:rsidRPr="00C86F4A">
        <w:rPr>
          <w:lang w:bidi="ar-SA"/>
        </w:rPr>
        <w:t>.</w:t>
      </w:r>
      <w:r>
        <w:rPr>
          <w:lang w:bidi="ar-SA"/>
        </w:rPr>
        <w:t xml:space="preserve"> Rapeseed protein isolate may be a low moisture food (as defined by the Codex Alimentarius Commission</w:t>
      </w:r>
      <w:r w:rsidR="002A41CE">
        <w:rPr>
          <w:lang w:bidi="ar-SA"/>
        </w:rPr>
        <w:t>, 2018</w:t>
      </w:r>
      <w:r>
        <w:rPr>
          <w:lang w:bidi="ar-SA"/>
        </w:rPr>
        <w:t>) and the water activity of the product inhibits the growth of pathogens</w:t>
      </w:r>
      <w:r w:rsidR="001533C5">
        <w:rPr>
          <w:lang w:bidi="ar-SA"/>
        </w:rPr>
        <w:t>,</w:t>
      </w:r>
      <w:r>
        <w:rPr>
          <w:lang w:bidi="ar-SA"/>
        </w:rPr>
        <w:t xml:space="preserve"> including </w:t>
      </w:r>
      <w:r w:rsidRPr="00B04989">
        <w:rPr>
          <w:i/>
          <w:lang w:bidi="ar-SA"/>
        </w:rPr>
        <w:t>Salmonella</w:t>
      </w:r>
      <w:r>
        <w:rPr>
          <w:lang w:bidi="ar-SA"/>
        </w:rPr>
        <w:t xml:space="preserve"> spp. and </w:t>
      </w:r>
      <w:r w:rsidRPr="00B04989">
        <w:rPr>
          <w:i/>
          <w:lang w:bidi="ar-SA"/>
        </w:rPr>
        <w:t>B</w:t>
      </w:r>
      <w:r>
        <w:rPr>
          <w:lang w:bidi="ar-SA"/>
        </w:rPr>
        <w:t xml:space="preserve">. </w:t>
      </w:r>
      <w:r w:rsidRPr="00B04989">
        <w:rPr>
          <w:i/>
          <w:lang w:bidi="ar-SA"/>
        </w:rPr>
        <w:t>cereus</w:t>
      </w:r>
      <w:r>
        <w:rPr>
          <w:lang w:bidi="ar-SA"/>
        </w:rPr>
        <w:t xml:space="preserve">, provided suitable storage conditions are maintained. The applicant has certification </w:t>
      </w:r>
      <w:r>
        <w:rPr>
          <w:lang w:bidi="ar-SA"/>
        </w:rPr>
        <w:lastRenderedPageBreak/>
        <w:t xml:space="preserve">in relevant food safety management systems to control foodborne hazards. A screening method was used to assess the risk for </w:t>
      </w:r>
      <w:r w:rsidRPr="00B04989">
        <w:rPr>
          <w:i/>
          <w:lang w:bidi="ar-SA"/>
        </w:rPr>
        <w:t>Salmonella</w:t>
      </w:r>
      <w:r>
        <w:rPr>
          <w:lang w:bidi="ar-SA"/>
        </w:rPr>
        <w:t xml:space="preserve"> spp. and </w:t>
      </w:r>
      <w:r w:rsidRPr="00B04989">
        <w:rPr>
          <w:i/>
          <w:lang w:bidi="ar-SA"/>
        </w:rPr>
        <w:t>B</w:t>
      </w:r>
      <w:r>
        <w:rPr>
          <w:lang w:bidi="ar-SA"/>
        </w:rPr>
        <w:t xml:space="preserve">. </w:t>
      </w:r>
      <w:r w:rsidRPr="00B04989">
        <w:rPr>
          <w:i/>
          <w:lang w:bidi="ar-SA"/>
        </w:rPr>
        <w:t>cereus</w:t>
      </w:r>
      <w:r>
        <w:rPr>
          <w:lang w:bidi="ar-SA"/>
        </w:rPr>
        <w:t xml:space="preserve"> when the product is used in </w:t>
      </w:r>
      <w:r w:rsidRPr="009849FB">
        <w:rPr>
          <w:lang w:bidi="ar-SA"/>
        </w:rPr>
        <w:t>manufactured convenience foods</w:t>
      </w:r>
      <w:r>
        <w:rPr>
          <w:lang w:bidi="ar-SA"/>
        </w:rPr>
        <w:t xml:space="preserve">. </w:t>
      </w:r>
      <w:r w:rsidRPr="009468C8">
        <w:rPr>
          <w:lang w:bidi="ar-SA"/>
        </w:rPr>
        <w:t xml:space="preserve">The risk levels determined were low for both </w:t>
      </w:r>
      <w:r w:rsidRPr="009468C8">
        <w:rPr>
          <w:i/>
          <w:lang w:bidi="ar-SA"/>
        </w:rPr>
        <w:t>Salmonella</w:t>
      </w:r>
      <w:r w:rsidRPr="009468C8">
        <w:rPr>
          <w:lang w:bidi="ar-SA"/>
        </w:rPr>
        <w:t xml:space="preserve"> spp. and </w:t>
      </w:r>
      <w:r w:rsidRPr="009468C8">
        <w:rPr>
          <w:i/>
          <w:lang w:bidi="ar-SA"/>
        </w:rPr>
        <w:t>B</w:t>
      </w:r>
      <w:r w:rsidRPr="009468C8">
        <w:rPr>
          <w:lang w:bidi="ar-SA"/>
        </w:rPr>
        <w:t xml:space="preserve">. </w:t>
      </w:r>
      <w:r w:rsidRPr="009468C8">
        <w:rPr>
          <w:i/>
          <w:lang w:bidi="ar-SA"/>
        </w:rPr>
        <w:t>cereus</w:t>
      </w:r>
      <w:r w:rsidRPr="009468C8">
        <w:rPr>
          <w:lang w:bidi="ar-SA"/>
        </w:rPr>
        <w:t>.</w:t>
      </w:r>
      <w:r>
        <w:rPr>
          <w:lang w:bidi="ar-SA"/>
        </w:rPr>
        <w:t xml:space="preserve"> For cooked foods, such as bakery products, where rapeseed protein isolate is used as an ingredient, </w:t>
      </w:r>
      <w:r w:rsidRPr="009468C8">
        <w:rPr>
          <w:lang w:bidi="ar-SA"/>
        </w:rPr>
        <w:t xml:space="preserve">the risk will also be low for both </w:t>
      </w:r>
      <w:r w:rsidRPr="009468C8">
        <w:rPr>
          <w:i/>
          <w:lang w:bidi="ar-SA"/>
        </w:rPr>
        <w:t>Salmonella</w:t>
      </w:r>
      <w:r w:rsidRPr="009468C8">
        <w:rPr>
          <w:lang w:bidi="ar-SA"/>
        </w:rPr>
        <w:t xml:space="preserve"> spp. and </w:t>
      </w:r>
      <w:r w:rsidRPr="009468C8">
        <w:rPr>
          <w:i/>
          <w:lang w:bidi="ar-SA"/>
        </w:rPr>
        <w:t>B</w:t>
      </w:r>
      <w:r w:rsidRPr="009468C8">
        <w:rPr>
          <w:lang w:bidi="ar-SA"/>
        </w:rPr>
        <w:t xml:space="preserve">. </w:t>
      </w:r>
      <w:r w:rsidRPr="009468C8">
        <w:rPr>
          <w:i/>
          <w:lang w:bidi="ar-SA"/>
        </w:rPr>
        <w:t>cereus</w:t>
      </w:r>
      <w:r w:rsidRPr="009468C8">
        <w:rPr>
          <w:lang w:bidi="ar-SA"/>
        </w:rPr>
        <w:t>.</w:t>
      </w:r>
    </w:p>
    <w:p w14:paraId="7C2B7A53" w14:textId="23A5D029" w:rsidR="00CD317F" w:rsidRDefault="00CD317F" w:rsidP="00C94D8A">
      <w:pPr>
        <w:rPr>
          <w:lang w:bidi="ar-SA"/>
        </w:rPr>
      </w:pPr>
    </w:p>
    <w:p w14:paraId="440E10D2" w14:textId="7AF3BBDB" w:rsidR="00554259" w:rsidRDefault="003567F1" w:rsidP="00C94D8A">
      <w:pPr>
        <w:rPr>
          <w:lang w:bidi="ar-SA"/>
        </w:rPr>
      </w:pPr>
      <w:r>
        <w:rPr>
          <w:lang w:bidi="ar-SA"/>
        </w:rPr>
        <w:t>An</w:t>
      </w:r>
      <w:r w:rsidR="00F82D7E">
        <w:rPr>
          <w:lang w:bidi="ar-SA"/>
        </w:rPr>
        <w:t xml:space="preserve"> </w:t>
      </w:r>
      <w:r>
        <w:rPr>
          <w:lang w:bidi="ar-SA"/>
        </w:rPr>
        <w:t>assessment was undertaken to estimate</w:t>
      </w:r>
      <w:r w:rsidR="00F82D7E" w:rsidRPr="00F82D7E">
        <w:rPr>
          <w:lang w:bidi="ar-SA"/>
        </w:rPr>
        <w:t xml:space="preserve"> dietary exposure to rapeseed protein isolate based on the most recent consumption data from national nutrition surveys for Australians (2</w:t>
      </w:r>
      <w:r w:rsidR="00CF7CD7">
        <w:rPr>
          <w:lang w:bidi="ar-SA"/>
        </w:rPr>
        <w:t> </w:t>
      </w:r>
      <w:r w:rsidR="00F82D7E" w:rsidRPr="00F82D7E">
        <w:rPr>
          <w:lang w:bidi="ar-SA"/>
        </w:rPr>
        <w:t xml:space="preserve">years and above) and New Zealanders (children 5-14 years and adults 15 years and above) and information </w:t>
      </w:r>
      <w:r w:rsidR="00B90133" w:rsidRPr="00F82D7E">
        <w:rPr>
          <w:lang w:bidi="ar-SA"/>
        </w:rPr>
        <w:t xml:space="preserve">provided by the applicant </w:t>
      </w:r>
      <w:r w:rsidR="00F82D7E" w:rsidRPr="00F82D7E">
        <w:rPr>
          <w:lang w:bidi="ar-SA"/>
        </w:rPr>
        <w:t>on proposed foods and</w:t>
      </w:r>
      <w:r w:rsidR="00E3603C">
        <w:rPr>
          <w:lang w:bidi="ar-SA"/>
        </w:rPr>
        <w:t xml:space="preserve"> maximum and typical</w:t>
      </w:r>
      <w:r w:rsidR="00F82D7E" w:rsidRPr="00F82D7E">
        <w:rPr>
          <w:lang w:bidi="ar-SA"/>
        </w:rPr>
        <w:t xml:space="preserve"> use levels</w:t>
      </w:r>
      <w:r w:rsidR="00B90133">
        <w:rPr>
          <w:lang w:bidi="ar-SA"/>
        </w:rPr>
        <w:t>.</w:t>
      </w:r>
      <w:r w:rsidR="00E3603C">
        <w:rPr>
          <w:lang w:bidi="ar-SA"/>
        </w:rPr>
        <w:t xml:space="preserve"> Results </w:t>
      </w:r>
      <w:r w:rsidR="00FD3AB3">
        <w:rPr>
          <w:lang w:bidi="ar-SA"/>
        </w:rPr>
        <w:t>based on</w:t>
      </w:r>
      <w:r w:rsidR="00E3603C">
        <w:rPr>
          <w:lang w:bidi="ar-SA"/>
        </w:rPr>
        <w:t xml:space="preserve"> typical use levels better reflect longer term or chronic risk, and therefore these were used by FSANZ for risk characterisation purposes.</w:t>
      </w:r>
    </w:p>
    <w:p w14:paraId="76374A62" w14:textId="77777777" w:rsidR="00A915C7" w:rsidRDefault="00A915C7" w:rsidP="00C94D8A">
      <w:pPr>
        <w:rPr>
          <w:lang w:bidi="ar-SA"/>
        </w:rPr>
      </w:pPr>
    </w:p>
    <w:p w14:paraId="601E4E08" w14:textId="5C5E6260" w:rsidR="00B13F5D" w:rsidRDefault="000A4BC9" w:rsidP="00B13F5D">
      <w:pPr>
        <w:rPr>
          <w:lang w:bidi="ar-SA"/>
        </w:rPr>
      </w:pPr>
      <w:r>
        <w:rPr>
          <w:lang w:bidi="ar-SA"/>
        </w:rPr>
        <w:t>R</w:t>
      </w:r>
      <w:r w:rsidR="00B13F5D">
        <w:rPr>
          <w:lang w:bidi="ar-SA"/>
        </w:rPr>
        <w:t>apeseed protein isolate, when used as a protein source in foods at the proposed</w:t>
      </w:r>
      <w:r w:rsidR="00493553">
        <w:rPr>
          <w:lang w:bidi="ar-SA"/>
        </w:rPr>
        <w:t xml:space="preserve"> maximum</w:t>
      </w:r>
      <w:r w:rsidR="00EB1167">
        <w:rPr>
          <w:lang w:bidi="ar-SA"/>
        </w:rPr>
        <w:t xml:space="preserve"> or </w:t>
      </w:r>
      <w:r w:rsidR="00493553">
        <w:rPr>
          <w:lang w:bidi="ar-SA"/>
        </w:rPr>
        <w:t>typical</w:t>
      </w:r>
      <w:r w:rsidR="00B13F5D">
        <w:rPr>
          <w:lang w:bidi="ar-SA"/>
        </w:rPr>
        <w:t xml:space="preserve"> use levels, </w:t>
      </w:r>
      <w:r w:rsidR="00B13F5D" w:rsidRPr="00575C3B">
        <w:rPr>
          <w:lang w:bidi="ar-SA"/>
        </w:rPr>
        <w:t>does not raise nutritional concerns</w:t>
      </w:r>
      <w:r w:rsidR="00681703">
        <w:rPr>
          <w:lang w:bidi="ar-SA"/>
        </w:rPr>
        <w:t xml:space="preserve"> </w:t>
      </w:r>
      <w:r w:rsidR="00EE6D0A">
        <w:rPr>
          <w:lang w:bidi="ar-SA"/>
        </w:rPr>
        <w:t xml:space="preserve">in relation to </w:t>
      </w:r>
      <w:r w:rsidR="00BC156E">
        <w:rPr>
          <w:lang w:bidi="ar-SA"/>
        </w:rPr>
        <w:t xml:space="preserve">the protein </w:t>
      </w:r>
      <w:r w:rsidR="00681703" w:rsidRPr="00681703">
        <w:rPr>
          <w:lang w:bidi="ar-SA"/>
        </w:rPr>
        <w:t>adequacy of the diet</w:t>
      </w:r>
      <w:r w:rsidR="00B13F5D">
        <w:rPr>
          <w:lang w:bidi="ar-SA"/>
        </w:rPr>
        <w:t xml:space="preserve">. The protein quality of rapeseed protein isolate, as determined from its amino acid profile and digestibility, is comparable to that of </w:t>
      </w:r>
      <w:r w:rsidR="00561E92">
        <w:rPr>
          <w:lang w:bidi="ar-SA"/>
        </w:rPr>
        <w:t xml:space="preserve">the milk protein casein and slightly higher than that </w:t>
      </w:r>
      <w:r w:rsidR="00141825">
        <w:rPr>
          <w:lang w:bidi="ar-SA"/>
        </w:rPr>
        <w:t>of</w:t>
      </w:r>
      <w:r w:rsidR="00561E92">
        <w:rPr>
          <w:lang w:bidi="ar-SA"/>
        </w:rPr>
        <w:t xml:space="preserve"> </w:t>
      </w:r>
      <w:r w:rsidR="00B13F5D">
        <w:rPr>
          <w:lang w:bidi="ar-SA"/>
        </w:rPr>
        <w:t>soy protein isolates.</w:t>
      </w:r>
    </w:p>
    <w:p w14:paraId="05A47E3F" w14:textId="77777777" w:rsidR="00B13F5D" w:rsidRDefault="00B13F5D" w:rsidP="00B13F5D">
      <w:pPr>
        <w:rPr>
          <w:lang w:bidi="ar-SA"/>
        </w:rPr>
      </w:pPr>
    </w:p>
    <w:p w14:paraId="1F3FE5B7" w14:textId="5D6DCD6D" w:rsidR="00B13F5D" w:rsidRDefault="00681703" w:rsidP="00B13F5D">
      <w:pPr>
        <w:rPr>
          <w:lang w:bidi="ar-SA"/>
        </w:rPr>
      </w:pPr>
      <w:r>
        <w:rPr>
          <w:lang w:bidi="ar-SA"/>
        </w:rPr>
        <w:t>Rapese</w:t>
      </w:r>
      <w:r w:rsidR="0089114A">
        <w:rPr>
          <w:lang w:bidi="ar-SA"/>
        </w:rPr>
        <w:t xml:space="preserve">ed protein isolates </w:t>
      </w:r>
      <w:r>
        <w:rPr>
          <w:lang w:bidi="ar-SA"/>
        </w:rPr>
        <w:t xml:space="preserve">contain phytates and </w:t>
      </w:r>
      <w:r w:rsidRPr="00681703">
        <w:rPr>
          <w:lang w:bidi="ar-SA"/>
        </w:rPr>
        <w:t xml:space="preserve">high phytate intakes can reduce mineral bioavailability. </w:t>
      </w:r>
      <w:r w:rsidR="00B13F5D" w:rsidRPr="009177D3">
        <w:rPr>
          <w:lang w:bidi="ar-SA"/>
        </w:rPr>
        <w:t xml:space="preserve">At a </w:t>
      </w:r>
      <w:r w:rsidR="004B1ADC">
        <w:rPr>
          <w:lang w:bidi="ar-SA"/>
        </w:rPr>
        <w:t>typical</w:t>
      </w:r>
      <w:r w:rsidR="004B1ADC" w:rsidRPr="009177D3">
        <w:rPr>
          <w:lang w:bidi="ar-SA"/>
        </w:rPr>
        <w:t xml:space="preserve"> </w:t>
      </w:r>
      <w:r w:rsidR="00B13F5D" w:rsidRPr="009177D3">
        <w:rPr>
          <w:lang w:bidi="ar-SA"/>
        </w:rPr>
        <w:t xml:space="preserve">use level of </w:t>
      </w:r>
      <w:r w:rsidR="00D7418F">
        <w:rPr>
          <w:lang w:bidi="ar-SA"/>
        </w:rPr>
        <w:t xml:space="preserve">rapeseed protein isolate of </w:t>
      </w:r>
      <w:r w:rsidR="00A72F18">
        <w:rPr>
          <w:lang w:bidi="ar-SA"/>
        </w:rPr>
        <w:t>1</w:t>
      </w:r>
      <w:r w:rsidR="00B13F5D" w:rsidRPr="009177D3">
        <w:rPr>
          <w:lang w:bidi="ar-SA"/>
        </w:rPr>
        <w:t xml:space="preserve">0% </w:t>
      </w:r>
      <w:r w:rsidR="001E5ABC">
        <w:rPr>
          <w:lang w:bidi="ar-SA"/>
        </w:rPr>
        <w:t xml:space="preserve">(w/w) </w:t>
      </w:r>
      <w:r w:rsidR="00B13F5D" w:rsidRPr="009177D3">
        <w:rPr>
          <w:lang w:bidi="ar-SA"/>
        </w:rPr>
        <w:t xml:space="preserve">in foods, </w:t>
      </w:r>
      <w:r w:rsidR="003E793C">
        <w:rPr>
          <w:lang w:bidi="ar-SA"/>
        </w:rPr>
        <w:t xml:space="preserve">and with a proposed </w:t>
      </w:r>
      <w:r w:rsidR="00B13F5D" w:rsidRPr="009177D3">
        <w:rPr>
          <w:lang w:bidi="ar-SA"/>
        </w:rPr>
        <w:t xml:space="preserve">maximum phytate level in rapeseed protein isolate </w:t>
      </w:r>
      <w:r w:rsidR="003E793C">
        <w:rPr>
          <w:lang w:bidi="ar-SA"/>
        </w:rPr>
        <w:t xml:space="preserve">of </w:t>
      </w:r>
      <w:r w:rsidR="00B13F5D" w:rsidRPr="009177D3">
        <w:rPr>
          <w:lang w:bidi="ar-SA"/>
        </w:rPr>
        <w:t xml:space="preserve">1.5% </w:t>
      </w:r>
      <w:r w:rsidR="003E793C">
        <w:rPr>
          <w:lang w:bidi="ar-SA"/>
        </w:rPr>
        <w:t>(</w:t>
      </w:r>
      <w:r w:rsidR="00B13F5D" w:rsidRPr="009177D3">
        <w:rPr>
          <w:lang w:bidi="ar-SA"/>
        </w:rPr>
        <w:t>w/w)</w:t>
      </w:r>
      <w:r w:rsidR="003E793C">
        <w:rPr>
          <w:lang w:bidi="ar-SA"/>
        </w:rPr>
        <w:t>, manufacture</w:t>
      </w:r>
      <w:r w:rsidR="00BC156E">
        <w:rPr>
          <w:lang w:bidi="ar-SA"/>
        </w:rPr>
        <w:t>d</w:t>
      </w:r>
      <w:r w:rsidR="003E793C">
        <w:rPr>
          <w:lang w:bidi="ar-SA"/>
        </w:rPr>
        <w:t xml:space="preserve"> foods would have maximum levels of phytate of</w:t>
      </w:r>
      <w:r w:rsidR="00B13F5D" w:rsidRPr="009177D3">
        <w:rPr>
          <w:lang w:bidi="ar-SA"/>
        </w:rPr>
        <w:t xml:space="preserve"> 0.</w:t>
      </w:r>
      <w:r w:rsidR="00783186">
        <w:rPr>
          <w:lang w:bidi="ar-SA"/>
        </w:rPr>
        <w:t>1</w:t>
      </w:r>
      <w:r w:rsidR="00B13F5D" w:rsidRPr="009177D3">
        <w:rPr>
          <w:lang w:bidi="ar-SA"/>
        </w:rPr>
        <w:t>5%</w:t>
      </w:r>
      <w:r w:rsidR="003E793C">
        <w:rPr>
          <w:lang w:bidi="ar-SA"/>
        </w:rPr>
        <w:t xml:space="preserve"> (w/w)</w:t>
      </w:r>
      <w:r w:rsidR="00B13F5D" w:rsidRPr="009177D3">
        <w:rPr>
          <w:lang w:bidi="ar-SA"/>
        </w:rPr>
        <w:t xml:space="preserve">, which is </w:t>
      </w:r>
      <w:r w:rsidR="00FB0867">
        <w:rPr>
          <w:lang w:bidi="ar-SA"/>
        </w:rPr>
        <w:t>close to the lower end of the</w:t>
      </w:r>
      <w:r w:rsidR="00B13F5D" w:rsidRPr="009177D3">
        <w:rPr>
          <w:lang w:bidi="ar-SA"/>
        </w:rPr>
        <w:t xml:space="preserve"> range reported for commonly consumed foods such as cereals, beans and nuts. Also, the maximum phytate level of 1.5% is similar to the maximum levels reported for soy protein isolates (1.5–1.7%)</w:t>
      </w:r>
      <w:r w:rsidR="0077593B">
        <w:rPr>
          <w:lang w:bidi="ar-SA"/>
        </w:rPr>
        <w:t>,</w:t>
      </w:r>
      <w:r w:rsidR="00DC7412">
        <w:rPr>
          <w:lang w:bidi="ar-SA"/>
        </w:rPr>
        <w:t xml:space="preserve"> which are the most widely used plant protein isolates</w:t>
      </w:r>
      <w:r w:rsidR="00B13F5D" w:rsidRPr="009177D3">
        <w:rPr>
          <w:lang w:bidi="ar-SA"/>
        </w:rPr>
        <w:t xml:space="preserve">. </w:t>
      </w:r>
      <w:r w:rsidR="00D85A67">
        <w:rPr>
          <w:lang w:bidi="ar-SA"/>
        </w:rPr>
        <w:t>On this basis</w:t>
      </w:r>
      <w:r w:rsidR="00A91DA7">
        <w:rPr>
          <w:lang w:bidi="ar-SA"/>
        </w:rPr>
        <w:t xml:space="preserve"> and the level assessed in the nutrition assessment</w:t>
      </w:r>
      <w:r w:rsidR="00B13F5D" w:rsidRPr="009177D3">
        <w:rPr>
          <w:lang w:bidi="ar-SA"/>
        </w:rPr>
        <w:t>, phytate levels of up to 1.5% in rapeseed protein isolate do not raise concerns regarding mineral bioavailability.</w:t>
      </w:r>
    </w:p>
    <w:p w14:paraId="21121BEE" w14:textId="2AD3E4AA" w:rsidR="00B13F5D" w:rsidDel="00B13F5D" w:rsidRDefault="00B13F5D" w:rsidP="00C94D8A">
      <w:pPr>
        <w:rPr>
          <w:lang w:bidi="ar-SA"/>
        </w:rPr>
      </w:pPr>
    </w:p>
    <w:p w14:paraId="35BB6757" w14:textId="18899390" w:rsidR="00D55CA6" w:rsidRDefault="00D55CA6" w:rsidP="00D55CA6">
      <w:pPr>
        <w:rPr>
          <w:lang w:bidi="ar-SA"/>
        </w:rPr>
      </w:pPr>
      <w:r>
        <w:rPr>
          <w:lang w:bidi="ar-SA"/>
        </w:rPr>
        <w:t>For erucic acid, estimated dietary exposures from rapeseed protein isolate</w:t>
      </w:r>
      <w:r w:rsidR="00EE6D0A">
        <w:rPr>
          <w:lang w:bidi="ar-SA"/>
        </w:rPr>
        <w:t xml:space="preserve"> based on typical use levels</w:t>
      </w:r>
      <w:r>
        <w:rPr>
          <w:lang w:bidi="ar-SA"/>
        </w:rPr>
        <w:t xml:space="preserve"> at the mean (0.0</w:t>
      </w:r>
      <w:r w:rsidR="00EE6D0A">
        <w:rPr>
          <w:lang w:bidi="ar-SA"/>
        </w:rPr>
        <w:t>3</w:t>
      </w:r>
      <w:r>
        <w:rPr>
          <w:lang w:bidi="ar-SA"/>
        </w:rPr>
        <w:t>-0.0</w:t>
      </w:r>
      <w:r w:rsidR="00EE6D0A">
        <w:rPr>
          <w:lang w:bidi="ar-SA"/>
        </w:rPr>
        <w:t>6</w:t>
      </w:r>
      <w:r>
        <w:rPr>
          <w:lang w:bidi="ar-SA"/>
        </w:rPr>
        <w:t xml:space="preserve"> mg/kg bw/day) and 90th percentile (0.0</w:t>
      </w:r>
      <w:r w:rsidR="00EE6D0A">
        <w:rPr>
          <w:lang w:bidi="ar-SA"/>
        </w:rPr>
        <w:t>5-0.11</w:t>
      </w:r>
      <w:r>
        <w:rPr>
          <w:lang w:bidi="ar-SA"/>
        </w:rPr>
        <w:t xml:space="preserve"> mg/kg bw/day) were higher than the dietary exposures from </w:t>
      </w:r>
      <w:r w:rsidR="00DA0240" w:rsidRPr="00DA0240">
        <w:rPr>
          <w:i/>
          <w:lang w:bidi="ar-SA"/>
        </w:rPr>
        <w:t>B</w:t>
      </w:r>
      <w:r w:rsidRPr="00DA0240">
        <w:rPr>
          <w:i/>
          <w:lang w:bidi="ar-SA"/>
        </w:rPr>
        <w:t>rassica</w:t>
      </w:r>
      <w:r>
        <w:rPr>
          <w:lang w:bidi="ar-SA"/>
        </w:rPr>
        <w:t xml:space="preserve"> vegetables at both the mean (0.003-0.01 mg/kg bw/day) and 90th percentile (0.01-0.03 mg/kg bw/day) for all population groups assessed in Australia and New Zealand. The </w:t>
      </w:r>
      <w:r w:rsidR="000D2EF9">
        <w:rPr>
          <w:lang w:bidi="ar-SA"/>
        </w:rPr>
        <w:t>exposure to</w:t>
      </w:r>
      <w:r>
        <w:rPr>
          <w:lang w:bidi="ar-SA"/>
        </w:rPr>
        <w:t xml:space="preserve"> erucic acid from rapeseed protein isolate was not considered to represent a public health concern as dietary exposure estimates were well below the provisional tolerable daily intake (PTDI) established by FSANZ in 2003 of 7.5</w:t>
      </w:r>
      <w:r w:rsidR="000D2EF9">
        <w:rPr>
          <w:lang w:bidi="ar-SA"/>
        </w:rPr>
        <w:t> </w:t>
      </w:r>
      <w:r>
        <w:rPr>
          <w:lang w:bidi="ar-SA"/>
        </w:rPr>
        <w:t>mg/kg bw per day.</w:t>
      </w:r>
    </w:p>
    <w:p w14:paraId="350229DD" w14:textId="77777777" w:rsidR="00D55CA6" w:rsidRDefault="00D55CA6" w:rsidP="00D55CA6">
      <w:pPr>
        <w:rPr>
          <w:lang w:bidi="ar-SA"/>
        </w:rPr>
      </w:pPr>
    </w:p>
    <w:p w14:paraId="41345D89" w14:textId="28C9283D" w:rsidR="00D55CA6" w:rsidRDefault="00D55CA6" w:rsidP="00D55CA6">
      <w:pPr>
        <w:rPr>
          <w:lang w:bidi="ar-SA"/>
        </w:rPr>
      </w:pPr>
      <w:r>
        <w:rPr>
          <w:lang w:bidi="ar-SA"/>
        </w:rPr>
        <w:t xml:space="preserve">Australians </w:t>
      </w:r>
      <w:r w:rsidR="001E5ABC">
        <w:rPr>
          <w:lang w:bidi="ar-SA"/>
        </w:rPr>
        <w:t xml:space="preserve">could be </w:t>
      </w:r>
      <w:r>
        <w:rPr>
          <w:lang w:bidi="ar-SA"/>
        </w:rPr>
        <w:t>exposed to more glucosinolates from rapeseed protein isolate</w:t>
      </w:r>
      <w:r w:rsidR="00EE6D0A">
        <w:rPr>
          <w:lang w:bidi="ar-SA"/>
        </w:rPr>
        <w:t xml:space="preserve"> based on typical use levels (mean 0.</w:t>
      </w:r>
      <w:r>
        <w:rPr>
          <w:lang w:bidi="ar-SA"/>
        </w:rPr>
        <w:t>3</w:t>
      </w:r>
      <w:r w:rsidR="00EE6D0A">
        <w:rPr>
          <w:lang w:bidi="ar-SA"/>
        </w:rPr>
        <w:t>0</w:t>
      </w:r>
      <w:r w:rsidR="000D2EF9">
        <w:rPr>
          <w:lang w:bidi="ar-SA"/>
        </w:rPr>
        <w:t> </w:t>
      </w:r>
      <w:r>
        <w:rPr>
          <w:lang w:bidi="ar-SA"/>
        </w:rPr>
        <w:t>mg/kg bw/day; 90th percentile 0</w:t>
      </w:r>
      <w:r w:rsidR="00DA0240">
        <w:rPr>
          <w:lang w:bidi="ar-SA"/>
        </w:rPr>
        <w:t>.</w:t>
      </w:r>
      <w:r w:rsidR="00EE6D0A">
        <w:rPr>
          <w:lang w:bidi="ar-SA"/>
        </w:rPr>
        <w:t>61</w:t>
      </w:r>
      <w:r w:rsidR="00DA0240">
        <w:rPr>
          <w:lang w:bidi="ar-SA"/>
        </w:rPr>
        <w:t xml:space="preserve"> mg/kg b/day) than from </w:t>
      </w:r>
      <w:r w:rsidR="00DA0240" w:rsidRPr="00DA0240">
        <w:rPr>
          <w:i/>
          <w:lang w:bidi="ar-SA"/>
        </w:rPr>
        <w:t>B</w:t>
      </w:r>
      <w:r w:rsidRPr="00DA0240">
        <w:rPr>
          <w:i/>
          <w:lang w:bidi="ar-SA"/>
        </w:rPr>
        <w:t>rassica</w:t>
      </w:r>
      <w:r>
        <w:rPr>
          <w:lang w:bidi="ar-SA"/>
        </w:rPr>
        <w:t xml:space="preserve"> vegetables (mean 0.21 mg/kg bw/day; 90th percentile 0.56 mg/kg bw/day). However, New Zealand dietary exposures to glucosinolates from </w:t>
      </w:r>
      <w:r w:rsidR="00DA0240" w:rsidRPr="00DA0240">
        <w:rPr>
          <w:i/>
          <w:lang w:bidi="ar-SA"/>
        </w:rPr>
        <w:t>Brassica</w:t>
      </w:r>
      <w:r w:rsidR="00DA0240">
        <w:rPr>
          <w:lang w:bidi="ar-SA"/>
        </w:rPr>
        <w:t xml:space="preserve"> </w:t>
      </w:r>
      <w:r>
        <w:rPr>
          <w:lang w:bidi="ar-SA"/>
        </w:rPr>
        <w:t xml:space="preserve">vegetables (mean 0.66-0.92 mg/kg bw/day; 90th percentile 1.40-2.17 mg/kg bw/day) were higher than exposures from rapeseed protein isolate </w:t>
      </w:r>
      <w:r w:rsidR="00EE6D0A">
        <w:rPr>
          <w:lang w:bidi="ar-SA"/>
        </w:rPr>
        <w:t xml:space="preserve">based on typical use levels </w:t>
      </w:r>
      <w:r>
        <w:rPr>
          <w:lang w:bidi="ar-SA"/>
        </w:rPr>
        <w:t>(mean 0.</w:t>
      </w:r>
      <w:r w:rsidR="00EE6D0A">
        <w:rPr>
          <w:lang w:bidi="ar-SA"/>
        </w:rPr>
        <w:t>2</w:t>
      </w:r>
      <w:r>
        <w:rPr>
          <w:lang w:bidi="ar-SA"/>
        </w:rPr>
        <w:t>5-0.</w:t>
      </w:r>
      <w:r w:rsidR="00EE6D0A">
        <w:rPr>
          <w:lang w:bidi="ar-SA"/>
        </w:rPr>
        <w:t>5</w:t>
      </w:r>
      <w:r>
        <w:rPr>
          <w:lang w:bidi="ar-SA"/>
        </w:rPr>
        <w:t>7</w:t>
      </w:r>
      <w:r w:rsidR="00EE6D0A">
        <w:rPr>
          <w:lang w:bidi="ar-SA"/>
        </w:rPr>
        <w:t> </w:t>
      </w:r>
      <w:r>
        <w:rPr>
          <w:lang w:bidi="ar-SA"/>
        </w:rPr>
        <w:t>m</w:t>
      </w:r>
      <w:r w:rsidR="00EE6D0A">
        <w:rPr>
          <w:lang w:bidi="ar-SA"/>
        </w:rPr>
        <w:t>g/kg bw/day; 90th percentile 0.50</w:t>
      </w:r>
      <w:r>
        <w:rPr>
          <w:lang w:bidi="ar-SA"/>
        </w:rPr>
        <w:t>-1.</w:t>
      </w:r>
      <w:r w:rsidR="00EE6D0A">
        <w:rPr>
          <w:lang w:bidi="ar-SA"/>
        </w:rPr>
        <w:t>04</w:t>
      </w:r>
      <w:r>
        <w:rPr>
          <w:lang w:bidi="ar-SA"/>
        </w:rPr>
        <w:t xml:space="preserve"> mg/kg bw/day). The additional exposure to glucosinolates from rapeseed protein isolate </w:t>
      </w:r>
      <w:r w:rsidR="00EE6D0A">
        <w:rPr>
          <w:lang w:bidi="ar-SA"/>
        </w:rPr>
        <w:t>based on typical use levels of around 20</w:t>
      </w:r>
      <w:r>
        <w:rPr>
          <w:lang w:bidi="ar-SA"/>
        </w:rPr>
        <w:t xml:space="preserve"> mg/day is equivalen</w:t>
      </w:r>
      <w:r w:rsidR="00EE6D0A">
        <w:rPr>
          <w:lang w:bidi="ar-SA"/>
        </w:rPr>
        <w:t>t to the consumption of around 3</w:t>
      </w:r>
      <w:r>
        <w:rPr>
          <w:lang w:bidi="ar-SA"/>
        </w:rPr>
        <w:t xml:space="preserve">0 g/day of </w:t>
      </w:r>
      <w:r w:rsidR="00DA0240" w:rsidRPr="00DA0240">
        <w:rPr>
          <w:i/>
          <w:lang w:bidi="ar-SA"/>
        </w:rPr>
        <w:t>Brassica</w:t>
      </w:r>
      <w:r w:rsidR="00DA0240">
        <w:rPr>
          <w:lang w:bidi="ar-SA"/>
        </w:rPr>
        <w:t xml:space="preserve"> </w:t>
      </w:r>
      <w:r w:rsidR="00EE6D0A">
        <w:rPr>
          <w:lang w:bidi="ar-SA"/>
        </w:rPr>
        <w:t>vegetables (one large</w:t>
      </w:r>
      <w:r>
        <w:rPr>
          <w:lang w:bidi="ar-SA"/>
        </w:rPr>
        <w:t xml:space="preserve"> broccoli floret or one medium cauliflower floret) and therefore not a </w:t>
      </w:r>
      <w:r w:rsidR="002E01FD">
        <w:rPr>
          <w:lang w:bidi="ar-SA"/>
        </w:rPr>
        <w:t xml:space="preserve">public </w:t>
      </w:r>
      <w:r>
        <w:rPr>
          <w:lang w:bidi="ar-SA"/>
        </w:rPr>
        <w:t>health concern.</w:t>
      </w:r>
    </w:p>
    <w:p w14:paraId="33DD6554" w14:textId="71ECC02F" w:rsidR="00D55CA6" w:rsidRDefault="00D55CA6" w:rsidP="00C94D8A">
      <w:pPr>
        <w:rPr>
          <w:lang w:bidi="ar-SA"/>
        </w:rPr>
      </w:pPr>
    </w:p>
    <w:p w14:paraId="4DE5D6B0" w14:textId="4D977A29" w:rsidR="00EE6D0A" w:rsidRDefault="0042517E" w:rsidP="00C94D8A">
      <w:r>
        <w:rPr>
          <w:lang w:bidi="ar-SA"/>
        </w:rPr>
        <w:t>Potential contaminants that may be bioaccumulated by the rapeseed plant include lead, cadmium, zinc, copper and chromium.</w:t>
      </w:r>
      <w:r w:rsidR="00565A9C">
        <w:rPr>
          <w:lang w:bidi="ar-SA"/>
        </w:rPr>
        <w:t xml:space="preserve"> </w:t>
      </w:r>
      <w:r w:rsidR="00614DC8">
        <w:t>Increased dietary exposure</w:t>
      </w:r>
      <w:r w:rsidR="002D3618">
        <w:t>s</w:t>
      </w:r>
      <w:r w:rsidR="00614DC8">
        <w:t xml:space="preserve"> to </w:t>
      </w:r>
      <w:r>
        <w:t>these contaminants</w:t>
      </w:r>
      <w:r w:rsidR="00614DC8">
        <w:t xml:space="preserve"> from the addition of rapesee</w:t>
      </w:r>
      <w:r w:rsidR="00874F01">
        <w:t xml:space="preserve">d protein isolate to the diet are estimated to </w:t>
      </w:r>
      <w:r w:rsidR="00874F01" w:rsidRPr="00677BC6">
        <w:t xml:space="preserve">be </w:t>
      </w:r>
      <w:r w:rsidR="00A2139A" w:rsidRPr="00677BC6">
        <w:t>low</w:t>
      </w:r>
      <w:r w:rsidR="00874F01">
        <w:t xml:space="preserve"> based on typical use levels and the small market update</w:t>
      </w:r>
      <w:r>
        <w:t xml:space="preserve"> estimated by the applicant, and are not of toxicological concern</w:t>
      </w:r>
      <w:r w:rsidR="002F79A7">
        <w:rPr>
          <w:lang w:bidi="ar-SA"/>
        </w:rPr>
        <w:t>.</w:t>
      </w:r>
    </w:p>
    <w:p w14:paraId="28E98FD7" w14:textId="77777777" w:rsidR="00EE6D0A" w:rsidRDefault="00EE6D0A" w:rsidP="00C94D8A">
      <w:pPr>
        <w:rPr>
          <w:lang w:bidi="ar-SA"/>
        </w:rPr>
      </w:pPr>
    </w:p>
    <w:p w14:paraId="2295B5ED" w14:textId="2D123B60" w:rsidR="00D55CA6" w:rsidRDefault="00EE1FBD" w:rsidP="00C94D8A">
      <w:pPr>
        <w:rPr>
          <w:lang w:bidi="ar-SA"/>
        </w:rPr>
      </w:pPr>
      <w:r w:rsidRPr="00EE1FBD">
        <w:rPr>
          <w:lang w:bidi="ar-SA"/>
        </w:rPr>
        <w:t xml:space="preserve">Rapeseed </w:t>
      </w:r>
      <w:r w:rsidR="00F4358F">
        <w:rPr>
          <w:rFonts w:cs="Arial"/>
          <w:lang w:val="en-AU"/>
        </w:rPr>
        <w:t xml:space="preserve">protein isolate contains mustard proteins, and proteins which may cross-react with </w:t>
      </w:r>
      <w:r w:rsidR="00F4358F" w:rsidRPr="009A6306">
        <w:rPr>
          <w:lang w:bidi="ar-SA"/>
        </w:rPr>
        <w:t>related</w:t>
      </w:r>
      <w:r w:rsidR="00F4358F">
        <w:rPr>
          <w:lang w:bidi="ar-SA"/>
        </w:rPr>
        <w:t xml:space="preserve"> mustard</w:t>
      </w:r>
      <w:r w:rsidR="00F4358F" w:rsidRPr="009A6306">
        <w:rPr>
          <w:lang w:bidi="ar-SA"/>
        </w:rPr>
        <w:t xml:space="preserve"> species</w:t>
      </w:r>
      <w:r w:rsidR="00F4358F">
        <w:rPr>
          <w:lang w:bidi="ar-SA"/>
        </w:rPr>
        <w:t xml:space="preserve"> due to the</w:t>
      </w:r>
      <w:r w:rsidR="00F4358F" w:rsidRPr="009A6306">
        <w:rPr>
          <w:lang w:bidi="ar-SA"/>
        </w:rPr>
        <w:t xml:space="preserve"> </w:t>
      </w:r>
      <w:r w:rsidR="0030199C" w:rsidRPr="009A6306">
        <w:rPr>
          <w:lang w:bidi="ar-SA"/>
        </w:rPr>
        <w:t>high</w:t>
      </w:r>
      <w:r w:rsidR="0030199C">
        <w:rPr>
          <w:lang w:bidi="ar-SA"/>
        </w:rPr>
        <w:t xml:space="preserve"> </w:t>
      </w:r>
      <w:r w:rsidR="00F4358F">
        <w:rPr>
          <w:lang w:bidi="ar-SA"/>
        </w:rPr>
        <w:t xml:space="preserve">amino acid </w:t>
      </w:r>
      <w:r w:rsidR="00F4358F" w:rsidRPr="009A6306">
        <w:rPr>
          <w:lang w:bidi="ar-SA"/>
        </w:rPr>
        <w:t xml:space="preserve">sequence similarity between the proteins. </w:t>
      </w:r>
      <w:r w:rsidR="00D55CA6" w:rsidRPr="00D55CA6">
        <w:rPr>
          <w:lang w:bidi="ar-SA"/>
        </w:rPr>
        <w:t xml:space="preserve">An </w:t>
      </w:r>
      <w:r>
        <w:rPr>
          <w:lang w:bidi="ar-SA"/>
        </w:rPr>
        <w:t xml:space="preserve">allergy </w:t>
      </w:r>
      <w:r w:rsidR="00D55CA6" w:rsidRPr="00D55CA6">
        <w:rPr>
          <w:lang w:bidi="ar-SA"/>
        </w:rPr>
        <w:t xml:space="preserve">assessment concluded that </w:t>
      </w:r>
      <w:r>
        <w:rPr>
          <w:lang w:bidi="ar-SA"/>
        </w:rPr>
        <w:t xml:space="preserve">rapeseed protein isolate has </w:t>
      </w:r>
      <w:r w:rsidR="00D55CA6" w:rsidRPr="00D55CA6">
        <w:rPr>
          <w:lang w:bidi="ar-SA"/>
        </w:rPr>
        <w:t>the potential to induce allergic responses in individuals who are allergic to mustard.</w:t>
      </w:r>
    </w:p>
    <w:p w14:paraId="4B85A33E" w14:textId="470C16C0" w:rsidR="00D55CA6" w:rsidRDefault="00D55CA6" w:rsidP="00C94D8A">
      <w:pPr>
        <w:rPr>
          <w:lang w:bidi="ar-SA"/>
        </w:rPr>
      </w:pPr>
    </w:p>
    <w:p w14:paraId="4D6032F9" w14:textId="5248FB10" w:rsidR="00565A9C" w:rsidRDefault="00874F01" w:rsidP="00C94D8A">
      <w:pPr>
        <w:rPr>
          <w:lang w:bidi="ar-SA"/>
        </w:rPr>
      </w:pPr>
      <w:r>
        <w:rPr>
          <w:lang w:bidi="ar-SA"/>
        </w:rPr>
        <w:t>In conclusion, t</w:t>
      </w:r>
      <w:r w:rsidR="00AE3DC8">
        <w:rPr>
          <w:lang w:bidi="ar-SA"/>
        </w:rPr>
        <w:t xml:space="preserve">he approval </w:t>
      </w:r>
      <w:r w:rsidR="0005567F">
        <w:rPr>
          <w:lang w:bidi="ar-SA"/>
        </w:rPr>
        <w:t xml:space="preserve">for the use </w:t>
      </w:r>
      <w:r w:rsidR="00AE3DC8">
        <w:rPr>
          <w:lang w:bidi="ar-SA"/>
        </w:rPr>
        <w:t>of rapeseed protein isolate as a novel food in the food</w:t>
      </w:r>
      <w:r w:rsidR="00923C94">
        <w:rPr>
          <w:lang w:bidi="ar-SA"/>
        </w:rPr>
        <w:t xml:space="preserve"> c</w:t>
      </w:r>
      <w:r w:rsidR="00C46C5C">
        <w:rPr>
          <w:lang w:bidi="ar-SA"/>
        </w:rPr>
        <w:t xml:space="preserve">lasses </w:t>
      </w:r>
      <w:r w:rsidR="00923C94">
        <w:rPr>
          <w:lang w:bidi="ar-SA"/>
        </w:rPr>
        <w:t>noted</w:t>
      </w:r>
      <w:r w:rsidR="00AE3DC8">
        <w:rPr>
          <w:lang w:bidi="ar-SA"/>
        </w:rPr>
        <w:t xml:space="preserve"> at the proposed typical use levels </w:t>
      </w:r>
      <w:r w:rsidR="0005567F">
        <w:rPr>
          <w:lang w:bidi="ar-SA"/>
        </w:rPr>
        <w:t>would</w:t>
      </w:r>
      <w:r w:rsidR="00AE3DC8">
        <w:rPr>
          <w:lang w:bidi="ar-SA"/>
        </w:rPr>
        <w:t xml:space="preserve"> not represent a public health and safety concern</w:t>
      </w:r>
      <w:r>
        <w:rPr>
          <w:lang w:bidi="ar-SA"/>
        </w:rPr>
        <w:t xml:space="preserve"> for many of the areas assessed</w:t>
      </w:r>
      <w:r w:rsidR="00923C94">
        <w:rPr>
          <w:lang w:bidi="ar-SA"/>
        </w:rPr>
        <w:t xml:space="preserve">. </w:t>
      </w:r>
      <w:r w:rsidR="005270D1">
        <w:rPr>
          <w:lang w:bidi="ar-SA"/>
        </w:rPr>
        <w:t>The</w:t>
      </w:r>
      <w:r>
        <w:rPr>
          <w:lang w:bidi="ar-SA"/>
        </w:rPr>
        <w:t xml:space="preserve"> aspects identified </w:t>
      </w:r>
      <w:r w:rsidR="001533C5">
        <w:rPr>
          <w:lang w:bidi="ar-SA"/>
        </w:rPr>
        <w:t xml:space="preserve">at the Call for Submissions </w:t>
      </w:r>
      <w:r>
        <w:rPr>
          <w:lang w:bidi="ar-SA"/>
        </w:rPr>
        <w:t xml:space="preserve">as </w:t>
      </w:r>
      <w:r w:rsidR="00923C94">
        <w:rPr>
          <w:lang w:bidi="ar-SA"/>
        </w:rPr>
        <w:t>potential public health and safety concerns includ</w:t>
      </w:r>
      <w:r w:rsidR="005270D1">
        <w:rPr>
          <w:lang w:bidi="ar-SA"/>
        </w:rPr>
        <w:t>ed</w:t>
      </w:r>
      <w:r w:rsidR="00923C94">
        <w:rPr>
          <w:lang w:bidi="ar-SA"/>
        </w:rPr>
        <w:t xml:space="preserve"> the microbiological risk from </w:t>
      </w:r>
      <w:r w:rsidR="00923C94" w:rsidRPr="00B04989">
        <w:rPr>
          <w:i/>
          <w:lang w:bidi="ar-SA"/>
        </w:rPr>
        <w:t>Salmonella</w:t>
      </w:r>
      <w:r w:rsidR="00923C94">
        <w:rPr>
          <w:lang w:bidi="ar-SA"/>
        </w:rPr>
        <w:t xml:space="preserve"> spp.</w:t>
      </w:r>
      <w:r w:rsidR="001533C5">
        <w:rPr>
          <w:lang w:bidi="ar-SA"/>
        </w:rPr>
        <w:t xml:space="preserve"> (this has subsequently </w:t>
      </w:r>
      <w:r w:rsidR="005A5823">
        <w:rPr>
          <w:lang w:bidi="ar-SA"/>
        </w:rPr>
        <w:t xml:space="preserve">been </w:t>
      </w:r>
      <w:r w:rsidR="001533C5">
        <w:rPr>
          <w:lang w:bidi="ar-SA"/>
        </w:rPr>
        <w:t>addressed)</w:t>
      </w:r>
      <w:r w:rsidR="00923C94">
        <w:rPr>
          <w:lang w:bidi="ar-SA"/>
        </w:rPr>
        <w:t xml:space="preserve">, the potential allergic responses to individuals </w:t>
      </w:r>
      <w:r w:rsidR="009B7213">
        <w:rPr>
          <w:lang w:bidi="ar-SA"/>
        </w:rPr>
        <w:t>who</w:t>
      </w:r>
      <w:r w:rsidR="00923C94">
        <w:rPr>
          <w:lang w:bidi="ar-SA"/>
        </w:rPr>
        <w:t xml:space="preserve"> are allergic to mustard, and the need to ensure levels of substances such as phytates and certain metal contaminants are retained as low as reasonably achievable.</w:t>
      </w:r>
    </w:p>
    <w:p w14:paraId="01D13BFD" w14:textId="77777777" w:rsidR="00D55CA6" w:rsidRDefault="00D55CA6" w:rsidP="00C94D8A">
      <w:pPr>
        <w:rPr>
          <w:lang w:bidi="ar-SA"/>
        </w:rPr>
      </w:pPr>
    </w:p>
    <w:p w14:paraId="457A9C4F" w14:textId="77777777" w:rsidR="00092CDA" w:rsidRPr="00EC624D" w:rsidRDefault="00092CDA" w:rsidP="00EC624D">
      <w:pPr>
        <w:sectPr w:rsidR="00092CDA" w:rsidRPr="00EC624D" w:rsidSect="0054272D">
          <w:footerReference w:type="even" r:id="rId9"/>
          <w:footerReference w:type="default" r:id="rId10"/>
          <w:headerReference w:type="first" r:id="rId11"/>
          <w:pgSz w:w="11906" w:h="16838"/>
          <w:pgMar w:top="1418" w:right="1418" w:bottom="1418" w:left="1418" w:header="709" w:footer="709" w:gutter="0"/>
          <w:pgNumType w:fmt="lowerRoman" w:start="1"/>
          <w:cols w:space="708"/>
          <w:docGrid w:linePitch="360"/>
        </w:sectPr>
      </w:pPr>
    </w:p>
    <w:p w14:paraId="04BC8BF7" w14:textId="7777777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p w14:paraId="19080F57" w14:textId="36C3B174" w:rsidR="000F77DF" w:rsidRDefault="00602C1A">
      <w:pPr>
        <w:pStyle w:val="TOC1"/>
        <w:tabs>
          <w:tab w:val="right" w:leader="dot" w:pos="9060"/>
        </w:tabs>
        <w:rPr>
          <w:rFonts w:eastAsiaTheme="minorEastAsia" w:cstheme="minorBidi"/>
          <w:b w:val="0"/>
          <w:bCs w:val="0"/>
          <w:caps w:val="0"/>
          <w:noProof/>
          <w:sz w:val="22"/>
          <w:szCs w:val="22"/>
          <w:lang w:eastAsia="en-GB" w:bidi="ar-SA"/>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56089978" w:history="1">
        <w:r w:rsidR="000F77DF" w:rsidRPr="00D2351A">
          <w:rPr>
            <w:rStyle w:val="Hyperlink"/>
            <w:noProof/>
          </w:rPr>
          <w:t>Executive summary</w:t>
        </w:r>
        <w:r w:rsidR="000F77DF">
          <w:rPr>
            <w:noProof/>
            <w:webHidden/>
          </w:rPr>
          <w:tab/>
        </w:r>
        <w:r w:rsidR="000F77DF">
          <w:rPr>
            <w:noProof/>
            <w:webHidden/>
          </w:rPr>
          <w:fldChar w:fldCharType="begin"/>
        </w:r>
        <w:r w:rsidR="000F77DF">
          <w:rPr>
            <w:noProof/>
            <w:webHidden/>
          </w:rPr>
          <w:instrText xml:space="preserve"> PAGEREF _Toc56089978 \h </w:instrText>
        </w:r>
        <w:r w:rsidR="000F77DF">
          <w:rPr>
            <w:noProof/>
            <w:webHidden/>
          </w:rPr>
        </w:r>
        <w:r w:rsidR="000F77DF">
          <w:rPr>
            <w:noProof/>
            <w:webHidden/>
          </w:rPr>
          <w:fldChar w:fldCharType="separate"/>
        </w:r>
        <w:r w:rsidR="00B548D2">
          <w:rPr>
            <w:noProof/>
            <w:webHidden/>
          </w:rPr>
          <w:t>i</w:t>
        </w:r>
        <w:r w:rsidR="000F77DF">
          <w:rPr>
            <w:noProof/>
            <w:webHidden/>
          </w:rPr>
          <w:fldChar w:fldCharType="end"/>
        </w:r>
      </w:hyperlink>
    </w:p>
    <w:p w14:paraId="654131BA" w14:textId="60596F76"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89979" w:history="1">
        <w:r w:rsidR="000F77DF" w:rsidRPr="00D2351A">
          <w:rPr>
            <w:rStyle w:val="Hyperlink"/>
            <w:noProof/>
          </w:rPr>
          <w:t>1.</w:t>
        </w:r>
        <w:r w:rsidR="000F77DF">
          <w:rPr>
            <w:rFonts w:eastAsiaTheme="minorEastAsia" w:cstheme="minorBidi"/>
            <w:b w:val="0"/>
            <w:bCs w:val="0"/>
            <w:caps w:val="0"/>
            <w:noProof/>
            <w:sz w:val="22"/>
            <w:szCs w:val="22"/>
            <w:lang w:eastAsia="en-GB" w:bidi="ar-SA"/>
          </w:rPr>
          <w:tab/>
        </w:r>
        <w:r w:rsidR="000F77DF" w:rsidRPr="00D2351A">
          <w:rPr>
            <w:rStyle w:val="Hyperlink"/>
            <w:noProof/>
          </w:rPr>
          <w:t>Introduction</w:t>
        </w:r>
        <w:r w:rsidR="000F77DF">
          <w:rPr>
            <w:noProof/>
            <w:webHidden/>
          </w:rPr>
          <w:tab/>
        </w:r>
        <w:r w:rsidR="000F77DF">
          <w:rPr>
            <w:noProof/>
            <w:webHidden/>
          </w:rPr>
          <w:fldChar w:fldCharType="begin"/>
        </w:r>
        <w:r w:rsidR="000F77DF">
          <w:rPr>
            <w:noProof/>
            <w:webHidden/>
          </w:rPr>
          <w:instrText xml:space="preserve"> PAGEREF _Toc56089979 \h </w:instrText>
        </w:r>
        <w:r w:rsidR="000F77DF">
          <w:rPr>
            <w:noProof/>
            <w:webHidden/>
          </w:rPr>
        </w:r>
        <w:r w:rsidR="000F77DF">
          <w:rPr>
            <w:noProof/>
            <w:webHidden/>
          </w:rPr>
          <w:fldChar w:fldCharType="separate"/>
        </w:r>
        <w:r w:rsidR="00B548D2">
          <w:rPr>
            <w:noProof/>
            <w:webHidden/>
          </w:rPr>
          <w:t>3</w:t>
        </w:r>
        <w:r w:rsidR="000F77DF">
          <w:rPr>
            <w:noProof/>
            <w:webHidden/>
          </w:rPr>
          <w:fldChar w:fldCharType="end"/>
        </w:r>
      </w:hyperlink>
    </w:p>
    <w:p w14:paraId="111DA475" w14:textId="7DD9668F"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89980" w:history="1">
        <w:r w:rsidR="000F77DF" w:rsidRPr="00D2351A">
          <w:rPr>
            <w:rStyle w:val="Hyperlink"/>
            <w:noProof/>
          </w:rPr>
          <w:t>2.</w:t>
        </w:r>
        <w:r w:rsidR="000F77DF">
          <w:rPr>
            <w:rFonts w:eastAsiaTheme="minorEastAsia" w:cstheme="minorBidi"/>
            <w:b w:val="0"/>
            <w:bCs w:val="0"/>
            <w:caps w:val="0"/>
            <w:noProof/>
            <w:sz w:val="22"/>
            <w:szCs w:val="22"/>
            <w:lang w:eastAsia="en-GB" w:bidi="ar-SA"/>
          </w:rPr>
          <w:tab/>
        </w:r>
        <w:r w:rsidR="000F77DF" w:rsidRPr="00D2351A">
          <w:rPr>
            <w:rStyle w:val="Hyperlink"/>
            <w:noProof/>
          </w:rPr>
          <w:t>Food technology assessment</w:t>
        </w:r>
        <w:r w:rsidR="000F77DF">
          <w:rPr>
            <w:noProof/>
            <w:webHidden/>
          </w:rPr>
          <w:tab/>
        </w:r>
        <w:r w:rsidR="000F77DF">
          <w:rPr>
            <w:noProof/>
            <w:webHidden/>
          </w:rPr>
          <w:fldChar w:fldCharType="begin"/>
        </w:r>
        <w:r w:rsidR="000F77DF">
          <w:rPr>
            <w:noProof/>
            <w:webHidden/>
          </w:rPr>
          <w:instrText xml:space="preserve"> PAGEREF _Toc56089980 \h </w:instrText>
        </w:r>
        <w:r w:rsidR="000F77DF">
          <w:rPr>
            <w:noProof/>
            <w:webHidden/>
          </w:rPr>
        </w:r>
        <w:r w:rsidR="000F77DF">
          <w:rPr>
            <w:noProof/>
            <w:webHidden/>
          </w:rPr>
          <w:fldChar w:fldCharType="separate"/>
        </w:r>
        <w:r w:rsidR="00B548D2">
          <w:rPr>
            <w:noProof/>
            <w:webHidden/>
          </w:rPr>
          <w:t>3</w:t>
        </w:r>
        <w:r w:rsidR="000F77DF">
          <w:rPr>
            <w:noProof/>
            <w:webHidden/>
          </w:rPr>
          <w:fldChar w:fldCharType="end"/>
        </w:r>
      </w:hyperlink>
    </w:p>
    <w:p w14:paraId="393AE7F5" w14:textId="7A0D96C3" w:rsidR="000F77DF" w:rsidRDefault="006574B6">
      <w:pPr>
        <w:pStyle w:val="TOC2"/>
        <w:rPr>
          <w:rFonts w:eastAsiaTheme="minorEastAsia" w:cstheme="minorBidi"/>
          <w:smallCaps w:val="0"/>
          <w:noProof/>
          <w:sz w:val="22"/>
          <w:szCs w:val="22"/>
          <w:lang w:eastAsia="en-GB" w:bidi="ar-SA"/>
        </w:rPr>
      </w:pPr>
      <w:hyperlink w:anchor="_Toc56089981" w:history="1">
        <w:r w:rsidR="000F77DF" w:rsidRPr="00D2351A">
          <w:rPr>
            <w:rStyle w:val="Hyperlink"/>
            <w:noProof/>
          </w:rPr>
          <w:t>2.1</w:t>
        </w:r>
        <w:r w:rsidR="000F77DF">
          <w:rPr>
            <w:rFonts w:eastAsiaTheme="minorEastAsia" w:cstheme="minorBidi"/>
            <w:smallCaps w:val="0"/>
            <w:noProof/>
            <w:sz w:val="22"/>
            <w:szCs w:val="22"/>
            <w:lang w:eastAsia="en-GB" w:bidi="ar-SA"/>
          </w:rPr>
          <w:tab/>
        </w:r>
        <w:r w:rsidR="000F77DF" w:rsidRPr="00D2351A">
          <w:rPr>
            <w:rStyle w:val="Hyperlink"/>
            <w:noProof/>
          </w:rPr>
          <w:t>Objectives for the food technology assessment</w:t>
        </w:r>
        <w:r w:rsidR="000F77DF">
          <w:rPr>
            <w:noProof/>
            <w:webHidden/>
          </w:rPr>
          <w:tab/>
        </w:r>
        <w:r w:rsidR="000F77DF">
          <w:rPr>
            <w:noProof/>
            <w:webHidden/>
          </w:rPr>
          <w:fldChar w:fldCharType="begin"/>
        </w:r>
        <w:r w:rsidR="000F77DF">
          <w:rPr>
            <w:noProof/>
            <w:webHidden/>
          </w:rPr>
          <w:instrText xml:space="preserve"> PAGEREF _Toc56089981 \h </w:instrText>
        </w:r>
        <w:r w:rsidR="000F77DF">
          <w:rPr>
            <w:noProof/>
            <w:webHidden/>
          </w:rPr>
        </w:r>
        <w:r w:rsidR="000F77DF">
          <w:rPr>
            <w:noProof/>
            <w:webHidden/>
          </w:rPr>
          <w:fldChar w:fldCharType="separate"/>
        </w:r>
        <w:r w:rsidR="00B548D2">
          <w:rPr>
            <w:noProof/>
            <w:webHidden/>
          </w:rPr>
          <w:t>3</w:t>
        </w:r>
        <w:r w:rsidR="000F77DF">
          <w:rPr>
            <w:noProof/>
            <w:webHidden/>
          </w:rPr>
          <w:fldChar w:fldCharType="end"/>
        </w:r>
      </w:hyperlink>
    </w:p>
    <w:p w14:paraId="23E17879" w14:textId="0121F6C1" w:rsidR="000F77DF" w:rsidRDefault="006574B6">
      <w:pPr>
        <w:pStyle w:val="TOC2"/>
        <w:rPr>
          <w:rFonts w:eastAsiaTheme="minorEastAsia" w:cstheme="minorBidi"/>
          <w:smallCaps w:val="0"/>
          <w:noProof/>
          <w:sz w:val="22"/>
          <w:szCs w:val="22"/>
          <w:lang w:eastAsia="en-GB" w:bidi="ar-SA"/>
        </w:rPr>
      </w:pPr>
      <w:hyperlink w:anchor="_Toc56089982" w:history="1">
        <w:r w:rsidR="000F77DF" w:rsidRPr="00D2351A">
          <w:rPr>
            <w:rStyle w:val="Hyperlink"/>
            <w:noProof/>
          </w:rPr>
          <w:t>2.2</w:t>
        </w:r>
        <w:r w:rsidR="000F77DF">
          <w:rPr>
            <w:rFonts w:eastAsiaTheme="minorEastAsia" w:cstheme="minorBidi"/>
            <w:smallCaps w:val="0"/>
            <w:noProof/>
            <w:sz w:val="22"/>
            <w:szCs w:val="22"/>
            <w:lang w:eastAsia="en-GB" w:bidi="ar-SA"/>
          </w:rPr>
          <w:tab/>
        </w:r>
        <w:r w:rsidR="000F77DF" w:rsidRPr="00D2351A">
          <w:rPr>
            <w:rStyle w:val="Hyperlink"/>
            <w:noProof/>
          </w:rPr>
          <w:t>Chemical and physical properties</w:t>
        </w:r>
        <w:r w:rsidR="000F77DF">
          <w:rPr>
            <w:noProof/>
            <w:webHidden/>
          </w:rPr>
          <w:tab/>
        </w:r>
        <w:r w:rsidR="000F77DF">
          <w:rPr>
            <w:noProof/>
            <w:webHidden/>
          </w:rPr>
          <w:fldChar w:fldCharType="begin"/>
        </w:r>
        <w:r w:rsidR="000F77DF">
          <w:rPr>
            <w:noProof/>
            <w:webHidden/>
          </w:rPr>
          <w:instrText xml:space="preserve"> PAGEREF _Toc56089982 \h </w:instrText>
        </w:r>
        <w:r w:rsidR="000F77DF">
          <w:rPr>
            <w:noProof/>
            <w:webHidden/>
          </w:rPr>
        </w:r>
        <w:r w:rsidR="000F77DF">
          <w:rPr>
            <w:noProof/>
            <w:webHidden/>
          </w:rPr>
          <w:fldChar w:fldCharType="separate"/>
        </w:r>
        <w:r w:rsidR="00B548D2">
          <w:rPr>
            <w:noProof/>
            <w:webHidden/>
          </w:rPr>
          <w:t>3</w:t>
        </w:r>
        <w:r w:rsidR="000F77DF">
          <w:rPr>
            <w:noProof/>
            <w:webHidden/>
          </w:rPr>
          <w:fldChar w:fldCharType="end"/>
        </w:r>
      </w:hyperlink>
    </w:p>
    <w:p w14:paraId="1BD784F6" w14:textId="26EADE1E" w:rsidR="000F77DF" w:rsidRDefault="006574B6">
      <w:pPr>
        <w:pStyle w:val="TOC3"/>
        <w:rPr>
          <w:rFonts w:eastAsiaTheme="minorEastAsia" w:cstheme="minorBidi"/>
          <w:i w:val="0"/>
          <w:iCs w:val="0"/>
          <w:noProof/>
          <w:sz w:val="22"/>
          <w:szCs w:val="22"/>
          <w:lang w:eastAsia="en-GB" w:bidi="ar-SA"/>
        </w:rPr>
      </w:pPr>
      <w:hyperlink w:anchor="_Toc56089983" w:history="1">
        <w:r w:rsidR="000F77DF" w:rsidRPr="00D2351A">
          <w:rPr>
            <w:rStyle w:val="Hyperlink"/>
            <w:noProof/>
          </w:rPr>
          <w:t>2.2.1</w:t>
        </w:r>
        <w:r w:rsidR="000F77DF">
          <w:rPr>
            <w:rFonts w:eastAsiaTheme="minorEastAsia" w:cstheme="minorBidi"/>
            <w:i w:val="0"/>
            <w:iCs w:val="0"/>
            <w:noProof/>
            <w:sz w:val="22"/>
            <w:szCs w:val="22"/>
            <w:lang w:eastAsia="en-GB" w:bidi="ar-SA"/>
          </w:rPr>
          <w:tab/>
        </w:r>
        <w:r w:rsidR="000F77DF" w:rsidRPr="00D2351A">
          <w:rPr>
            <w:rStyle w:val="Hyperlink"/>
            <w:noProof/>
          </w:rPr>
          <w:t>Composition</w:t>
        </w:r>
        <w:r w:rsidR="000F77DF">
          <w:rPr>
            <w:noProof/>
            <w:webHidden/>
          </w:rPr>
          <w:tab/>
        </w:r>
        <w:r w:rsidR="000F77DF">
          <w:rPr>
            <w:noProof/>
            <w:webHidden/>
          </w:rPr>
          <w:fldChar w:fldCharType="begin"/>
        </w:r>
        <w:r w:rsidR="000F77DF">
          <w:rPr>
            <w:noProof/>
            <w:webHidden/>
          </w:rPr>
          <w:instrText xml:space="preserve"> PAGEREF _Toc56089983 \h </w:instrText>
        </w:r>
        <w:r w:rsidR="000F77DF">
          <w:rPr>
            <w:noProof/>
            <w:webHidden/>
          </w:rPr>
        </w:r>
        <w:r w:rsidR="000F77DF">
          <w:rPr>
            <w:noProof/>
            <w:webHidden/>
          </w:rPr>
          <w:fldChar w:fldCharType="separate"/>
        </w:r>
        <w:r w:rsidR="00B548D2">
          <w:rPr>
            <w:noProof/>
            <w:webHidden/>
          </w:rPr>
          <w:t>4</w:t>
        </w:r>
        <w:r w:rsidR="000F77DF">
          <w:rPr>
            <w:noProof/>
            <w:webHidden/>
          </w:rPr>
          <w:fldChar w:fldCharType="end"/>
        </w:r>
      </w:hyperlink>
    </w:p>
    <w:p w14:paraId="3614A463" w14:textId="16971FA5" w:rsidR="000F77DF" w:rsidRDefault="006574B6">
      <w:pPr>
        <w:pStyle w:val="TOC2"/>
        <w:rPr>
          <w:rFonts w:eastAsiaTheme="minorEastAsia" w:cstheme="minorBidi"/>
          <w:smallCaps w:val="0"/>
          <w:noProof/>
          <w:sz w:val="22"/>
          <w:szCs w:val="22"/>
          <w:lang w:eastAsia="en-GB" w:bidi="ar-SA"/>
        </w:rPr>
      </w:pPr>
      <w:hyperlink w:anchor="_Toc56089984" w:history="1">
        <w:r w:rsidR="000F77DF" w:rsidRPr="00D2351A">
          <w:rPr>
            <w:rStyle w:val="Hyperlink"/>
            <w:noProof/>
          </w:rPr>
          <w:t>2.3</w:t>
        </w:r>
        <w:r w:rsidR="000F77DF">
          <w:rPr>
            <w:rFonts w:eastAsiaTheme="minorEastAsia" w:cstheme="minorBidi"/>
            <w:smallCaps w:val="0"/>
            <w:noProof/>
            <w:sz w:val="22"/>
            <w:szCs w:val="22"/>
            <w:lang w:eastAsia="en-GB" w:bidi="ar-SA"/>
          </w:rPr>
          <w:tab/>
        </w:r>
        <w:r w:rsidR="000F77DF" w:rsidRPr="00D2351A">
          <w:rPr>
            <w:rStyle w:val="Hyperlink"/>
            <w:noProof/>
          </w:rPr>
          <w:t>Technological purpose</w:t>
        </w:r>
        <w:r w:rsidR="000F77DF">
          <w:rPr>
            <w:noProof/>
            <w:webHidden/>
          </w:rPr>
          <w:tab/>
        </w:r>
        <w:r w:rsidR="000F77DF">
          <w:rPr>
            <w:noProof/>
            <w:webHidden/>
          </w:rPr>
          <w:fldChar w:fldCharType="begin"/>
        </w:r>
        <w:r w:rsidR="000F77DF">
          <w:rPr>
            <w:noProof/>
            <w:webHidden/>
          </w:rPr>
          <w:instrText xml:space="preserve"> PAGEREF _Toc56089984 \h </w:instrText>
        </w:r>
        <w:r w:rsidR="000F77DF">
          <w:rPr>
            <w:noProof/>
            <w:webHidden/>
          </w:rPr>
        </w:r>
        <w:r w:rsidR="000F77DF">
          <w:rPr>
            <w:noProof/>
            <w:webHidden/>
          </w:rPr>
          <w:fldChar w:fldCharType="separate"/>
        </w:r>
        <w:r w:rsidR="00B548D2">
          <w:rPr>
            <w:noProof/>
            <w:webHidden/>
          </w:rPr>
          <w:t>5</w:t>
        </w:r>
        <w:r w:rsidR="000F77DF">
          <w:rPr>
            <w:noProof/>
            <w:webHidden/>
          </w:rPr>
          <w:fldChar w:fldCharType="end"/>
        </w:r>
      </w:hyperlink>
    </w:p>
    <w:p w14:paraId="50F34DB2" w14:textId="782F7ACA" w:rsidR="000F77DF" w:rsidRDefault="006574B6">
      <w:pPr>
        <w:pStyle w:val="TOC3"/>
        <w:rPr>
          <w:rFonts w:eastAsiaTheme="minorEastAsia" w:cstheme="minorBidi"/>
          <w:i w:val="0"/>
          <w:iCs w:val="0"/>
          <w:noProof/>
          <w:sz w:val="22"/>
          <w:szCs w:val="22"/>
          <w:lang w:eastAsia="en-GB" w:bidi="ar-SA"/>
        </w:rPr>
      </w:pPr>
      <w:hyperlink w:anchor="_Toc56089985" w:history="1">
        <w:r w:rsidR="000F77DF" w:rsidRPr="00D2351A">
          <w:rPr>
            <w:rStyle w:val="Hyperlink"/>
            <w:noProof/>
          </w:rPr>
          <w:t>2.3.1</w:t>
        </w:r>
        <w:r w:rsidR="000F77DF">
          <w:rPr>
            <w:rFonts w:eastAsiaTheme="minorEastAsia" w:cstheme="minorBidi"/>
            <w:i w:val="0"/>
            <w:iCs w:val="0"/>
            <w:noProof/>
            <w:sz w:val="22"/>
            <w:szCs w:val="22"/>
            <w:lang w:eastAsia="en-GB" w:bidi="ar-SA"/>
          </w:rPr>
          <w:tab/>
        </w:r>
        <w:r w:rsidR="000F77DF" w:rsidRPr="00D2351A">
          <w:rPr>
            <w:rStyle w:val="Hyperlink"/>
            <w:noProof/>
          </w:rPr>
          <w:t>Functional properties</w:t>
        </w:r>
        <w:r w:rsidR="000F77DF">
          <w:rPr>
            <w:noProof/>
            <w:webHidden/>
          </w:rPr>
          <w:tab/>
        </w:r>
        <w:r w:rsidR="000F77DF">
          <w:rPr>
            <w:noProof/>
            <w:webHidden/>
          </w:rPr>
          <w:fldChar w:fldCharType="begin"/>
        </w:r>
        <w:r w:rsidR="000F77DF">
          <w:rPr>
            <w:noProof/>
            <w:webHidden/>
          </w:rPr>
          <w:instrText xml:space="preserve"> PAGEREF _Toc56089985 \h </w:instrText>
        </w:r>
        <w:r w:rsidR="000F77DF">
          <w:rPr>
            <w:noProof/>
            <w:webHidden/>
          </w:rPr>
        </w:r>
        <w:r w:rsidR="000F77DF">
          <w:rPr>
            <w:noProof/>
            <w:webHidden/>
          </w:rPr>
          <w:fldChar w:fldCharType="separate"/>
        </w:r>
        <w:r w:rsidR="00B548D2">
          <w:rPr>
            <w:noProof/>
            <w:webHidden/>
          </w:rPr>
          <w:t>6</w:t>
        </w:r>
        <w:r w:rsidR="000F77DF">
          <w:rPr>
            <w:noProof/>
            <w:webHidden/>
          </w:rPr>
          <w:fldChar w:fldCharType="end"/>
        </w:r>
      </w:hyperlink>
    </w:p>
    <w:p w14:paraId="20F87670" w14:textId="571BBFAF" w:rsidR="000F77DF" w:rsidRDefault="006574B6">
      <w:pPr>
        <w:pStyle w:val="TOC2"/>
        <w:rPr>
          <w:rFonts w:eastAsiaTheme="minorEastAsia" w:cstheme="minorBidi"/>
          <w:smallCaps w:val="0"/>
          <w:noProof/>
          <w:sz w:val="22"/>
          <w:szCs w:val="22"/>
          <w:lang w:eastAsia="en-GB" w:bidi="ar-SA"/>
        </w:rPr>
      </w:pPr>
      <w:hyperlink w:anchor="_Toc56089986" w:history="1">
        <w:r w:rsidR="000F77DF" w:rsidRPr="00D2351A">
          <w:rPr>
            <w:rStyle w:val="Hyperlink"/>
            <w:noProof/>
          </w:rPr>
          <w:t>2.4</w:t>
        </w:r>
        <w:r w:rsidR="000F77DF">
          <w:rPr>
            <w:rFonts w:eastAsiaTheme="minorEastAsia" w:cstheme="minorBidi"/>
            <w:smallCaps w:val="0"/>
            <w:noProof/>
            <w:sz w:val="22"/>
            <w:szCs w:val="22"/>
            <w:lang w:eastAsia="en-GB" w:bidi="ar-SA"/>
          </w:rPr>
          <w:tab/>
        </w:r>
        <w:r w:rsidR="000F77DF" w:rsidRPr="00D2351A">
          <w:rPr>
            <w:rStyle w:val="Hyperlink"/>
            <w:noProof/>
          </w:rPr>
          <w:t>Technological justification</w:t>
        </w:r>
        <w:r w:rsidR="000F77DF">
          <w:rPr>
            <w:noProof/>
            <w:webHidden/>
          </w:rPr>
          <w:tab/>
        </w:r>
        <w:r w:rsidR="000F77DF">
          <w:rPr>
            <w:noProof/>
            <w:webHidden/>
          </w:rPr>
          <w:fldChar w:fldCharType="begin"/>
        </w:r>
        <w:r w:rsidR="000F77DF">
          <w:rPr>
            <w:noProof/>
            <w:webHidden/>
          </w:rPr>
          <w:instrText xml:space="preserve"> PAGEREF _Toc56089986 \h </w:instrText>
        </w:r>
        <w:r w:rsidR="000F77DF">
          <w:rPr>
            <w:noProof/>
            <w:webHidden/>
          </w:rPr>
        </w:r>
        <w:r w:rsidR="000F77DF">
          <w:rPr>
            <w:noProof/>
            <w:webHidden/>
          </w:rPr>
          <w:fldChar w:fldCharType="separate"/>
        </w:r>
        <w:r w:rsidR="00B548D2">
          <w:rPr>
            <w:noProof/>
            <w:webHidden/>
          </w:rPr>
          <w:t>7</w:t>
        </w:r>
        <w:r w:rsidR="000F77DF">
          <w:rPr>
            <w:noProof/>
            <w:webHidden/>
          </w:rPr>
          <w:fldChar w:fldCharType="end"/>
        </w:r>
      </w:hyperlink>
    </w:p>
    <w:p w14:paraId="76E4792E" w14:textId="2700B147" w:rsidR="000F77DF" w:rsidRDefault="006574B6">
      <w:pPr>
        <w:pStyle w:val="TOC2"/>
        <w:rPr>
          <w:rFonts w:eastAsiaTheme="minorEastAsia" w:cstheme="minorBidi"/>
          <w:smallCaps w:val="0"/>
          <w:noProof/>
          <w:sz w:val="22"/>
          <w:szCs w:val="22"/>
          <w:lang w:eastAsia="en-GB" w:bidi="ar-SA"/>
        </w:rPr>
      </w:pPr>
      <w:hyperlink w:anchor="_Toc56089987" w:history="1">
        <w:r w:rsidR="000F77DF" w:rsidRPr="00D2351A">
          <w:rPr>
            <w:rStyle w:val="Hyperlink"/>
            <w:noProof/>
          </w:rPr>
          <w:t>2.5</w:t>
        </w:r>
        <w:r w:rsidR="000F77DF">
          <w:rPr>
            <w:rFonts w:eastAsiaTheme="minorEastAsia" w:cstheme="minorBidi"/>
            <w:smallCaps w:val="0"/>
            <w:noProof/>
            <w:sz w:val="22"/>
            <w:szCs w:val="22"/>
            <w:lang w:eastAsia="en-GB" w:bidi="ar-SA"/>
          </w:rPr>
          <w:tab/>
        </w:r>
        <w:r w:rsidR="000F77DF" w:rsidRPr="00D2351A">
          <w:rPr>
            <w:rStyle w:val="Hyperlink"/>
            <w:noProof/>
          </w:rPr>
          <w:t>The manufacturing process</w:t>
        </w:r>
        <w:r w:rsidR="000F77DF">
          <w:rPr>
            <w:noProof/>
            <w:webHidden/>
          </w:rPr>
          <w:tab/>
        </w:r>
        <w:r w:rsidR="000F77DF">
          <w:rPr>
            <w:noProof/>
            <w:webHidden/>
          </w:rPr>
          <w:fldChar w:fldCharType="begin"/>
        </w:r>
        <w:r w:rsidR="000F77DF">
          <w:rPr>
            <w:noProof/>
            <w:webHidden/>
          </w:rPr>
          <w:instrText xml:space="preserve"> PAGEREF _Toc56089987 \h </w:instrText>
        </w:r>
        <w:r w:rsidR="000F77DF">
          <w:rPr>
            <w:noProof/>
            <w:webHidden/>
          </w:rPr>
        </w:r>
        <w:r w:rsidR="000F77DF">
          <w:rPr>
            <w:noProof/>
            <w:webHidden/>
          </w:rPr>
          <w:fldChar w:fldCharType="separate"/>
        </w:r>
        <w:r w:rsidR="00B548D2">
          <w:rPr>
            <w:noProof/>
            <w:webHidden/>
          </w:rPr>
          <w:t>7</w:t>
        </w:r>
        <w:r w:rsidR="000F77DF">
          <w:rPr>
            <w:noProof/>
            <w:webHidden/>
          </w:rPr>
          <w:fldChar w:fldCharType="end"/>
        </w:r>
      </w:hyperlink>
    </w:p>
    <w:p w14:paraId="3609D964" w14:textId="1C0F8D18" w:rsidR="000F77DF" w:rsidRDefault="006574B6">
      <w:pPr>
        <w:pStyle w:val="TOC2"/>
        <w:rPr>
          <w:rFonts w:eastAsiaTheme="minorEastAsia" w:cstheme="minorBidi"/>
          <w:smallCaps w:val="0"/>
          <w:noProof/>
          <w:sz w:val="22"/>
          <w:szCs w:val="22"/>
          <w:lang w:eastAsia="en-GB" w:bidi="ar-SA"/>
        </w:rPr>
      </w:pPr>
      <w:hyperlink w:anchor="_Toc56089988" w:history="1">
        <w:r w:rsidR="000F77DF" w:rsidRPr="00D2351A">
          <w:rPr>
            <w:rStyle w:val="Hyperlink"/>
            <w:noProof/>
          </w:rPr>
          <w:t>2.6</w:t>
        </w:r>
        <w:r w:rsidR="000F77DF">
          <w:rPr>
            <w:rFonts w:eastAsiaTheme="minorEastAsia" w:cstheme="minorBidi"/>
            <w:smallCaps w:val="0"/>
            <w:noProof/>
            <w:sz w:val="22"/>
            <w:szCs w:val="22"/>
            <w:lang w:eastAsia="en-GB" w:bidi="ar-SA"/>
          </w:rPr>
          <w:tab/>
        </w:r>
        <w:r w:rsidR="000F77DF" w:rsidRPr="00D2351A">
          <w:rPr>
            <w:rStyle w:val="Hyperlink"/>
            <w:noProof/>
          </w:rPr>
          <w:t>Analytical method for detection</w:t>
        </w:r>
        <w:r w:rsidR="000F77DF">
          <w:rPr>
            <w:noProof/>
            <w:webHidden/>
          </w:rPr>
          <w:tab/>
        </w:r>
        <w:r w:rsidR="000F77DF">
          <w:rPr>
            <w:noProof/>
            <w:webHidden/>
          </w:rPr>
          <w:fldChar w:fldCharType="begin"/>
        </w:r>
        <w:r w:rsidR="000F77DF">
          <w:rPr>
            <w:noProof/>
            <w:webHidden/>
          </w:rPr>
          <w:instrText xml:space="preserve"> PAGEREF _Toc56089988 \h </w:instrText>
        </w:r>
        <w:r w:rsidR="000F77DF">
          <w:rPr>
            <w:noProof/>
            <w:webHidden/>
          </w:rPr>
        </w:r>
        <w:r w:rsidR="000F77DF">
          <w:rPr>
            <w:noProof/>
            <w:webHidden/>
          </w:rPr>
          <w:fldChar w:fldCharType="separate"/>
        </w:r>
        <w:r w:rsidR="00B548D2">
          <w:rPr>
            <w:noProof/>
            <w:webHidden/>
          </w:rPr>
          <w:t>9</w:t>
        </w:r>
        <w:r w:rsidR="000F77DF">
          <w:rPr>
            <w:noProof/>
            <w:webHidden/>
          </w:rPr>
          <w:fldChar w:fldCharType="end"/>
        </w:r>
      </w:hyperlink>
    </w:p>
    <w:p w14:paraId="32E59896" w14:textId="1188417C" w:rsidR="000F77DF" w:rsidRDefault="006574B6">
      <w:pPr>
        <w:pStyle w:val="TOC2"/>
        <w:rPr>
          <w:rFonts w:eastAsiaTheme="minorEastAsia" w:cstheme="minorBidi"/>
          <w:smallCaps w:val="0"/>
          <w:noProof/>
          <w:sz w:val="22"/>
          <w:szCs w:val="22"/>
          <w:lang w:eastAsia="en-GB" w:bidi="ar-SA"/>
        </w:rPr>
      </w:pPr>
      <w:hyperlink w:anchor="_Toc56089989" w:history="1">
        <w:r w:rsidR="000F77DF" w:rsidRPr="00D2351A">
          <w:rPr>
            <w:rStyle w:val="Hyperlink"/>
            <w:noProof/>
          </w:rPr>
          <w:t>2.7</w:t>
        </w:r>
        <w:r w:rsidR="000F77DF">
          <w:rPr>
            <w:rFonts w:eastAsiaTheme="minorEastAsia" w:cstheme="minorBidi"/>
            <w:smallCaps w:val="0"/>
            <w:noProof/>
            <w:sz w:val="22"/>
            <w:szCs w:val="22"/>
            <w:lang w:eastAsia="en-GB" w:bidi="ar-SA"/>
          </w:rPr>
          <w:tab/>
        </w:r>
        <w:r w:rsidR="000F77DF" w:rsidRPr="00D2351A">
          <w:rPr>
            <w:rStyle w:val="Hyperlink"/>
            <w:noProof/>
          </w:rPr>
          <w:t>Product specification</w:t>
        </w:r>
        <w:r w:rsidR="000F77DF">
          <w:rPr>
            <w:noProof/>
            <w:webHidden/>
          </w:rPr>
          <w:tab/>
        </w:r>
        <w:r w:rsidR="000F77DF">
          <w:rPr>
            <w:noProof/>
            <w:webHidden/>
          </w:rPr>
          <w:fldChar w:fldCharType="begin"/>
        </w:r>
        <w:r w:rsidR="000F77DF">
          <w:rPr>
            <w:noProof/>
            <w:webHidden/>
          </w:rPr>
          <w:instrText xml:space="preserve"> PAGEREF _Toc56089989 \h </w:instrText>
        </w:r>
        <w:r w:rsidR="000F77DF">
          <w:rPr>
            <w:noProof/>
            <w:webHidden/>
          </w:rPr>
        </w:r>
        <w:r w:rsidR="000F77DF">
          <w:rPr>
            <w:noProof/>
            <w:webHidden/>
          </w:rPr>
          <w:fldChar w:fldCharType="separate"/>
        </w:r>
        <w:r w:rsidR="00B548D2">
          <w:rPr>
            <w:noProof/>
            <w:webHidden/>
          </w:rPr>
          <w:t>9</w:t>
        </w:r>
        <w:r w:rsidR="000F77DF">
          <w:rPr>
            <w:noProof/>
            <w:webHidden/>
          </w:rPr>
          <w:fldChar w:fldCharType="end"/>
        </w:r>
      </w:hyperlink>
    </w:p>
    <w:p w14:paraId="2D1B825E" w14:textId="782B548F" w:rsidR="000F77DF" w:rsidRDefault="006574B6">
      <w:pPr>
        <w:pStyle w:val="TOC2"/>
        <w:rPr>
          <w:rFonts w:eastAsiaTheme="minorEastAsia" w:cstheme="minorBidi"/>
          <w:smallCaps w:val="0"/>
          <w:noProof/>
          <w:sz w:val="22"/>
          <w:szCs w:val="22"/>
          <w:lang w:eastAsia="en-GB" w:bidi="ar-SA"/>
        </w:rPr>
      </w:pPr>
      <w:hyperlink w:anchor="_Toc56089990" w:history="1">
        <w:r w:rsidR="000F77DF" w:rsidRPr="00D2351A">
          <w:rPr>
            <w:rStyle w:val="Hyperlink"/>
            <w:noProof/>
          </w:rPr>
          <w:t>2.8</w:t>
        </w:r>
        <w:r w:rsidR="000F77DF">
          <w:rPr>
            <w:rFonts w:eastAsiaTheme="minorEastAsia" w:cstheme="minorBidi"/>
            <w:smallCaps w:val="0"/>
            <w:noProof/>
            <w:sz w:val="22"/>
            <w:szCs w:val="22"/>
            <w:lang w:eastAsia="en-GB" w:bidi="ar-SA"/>
          </w:rPr>
          <w:tab/>
        </w:r>
        <w:r w:rsidR="000F77DF" w:rsidRPr="00D2351A">
          <w:rPr>
            <w:rStyle w:val="Hyperlink"/>
            <w:noProof/>
          </w:rPr>
          <w:t>Food technology conclusion</w:t>
        </w:r>
        <w:r w:rsidR="000F77DF">
          <w:rPr>
            <w:noProof/>
            <w:webHidden/>
          </w:rPr>
          <w:tab/>
        </w:r>
        <w:r w:rsidR="000F77DF">
          <w:rPr>
            <w:noProof/>
            <w:webHidden/>
          </w:rPr>
          <w:fldChar w:fldCharType="begin"/>
        </w:r>
        <w:r w:rsidR="000F77DF">
          <w:rPr>
            <w:noProof/>
            <w:webHidden/>
          </w:rPr>
          <w:instrText xml:space="preserve"> PAGEREF _Toc56089990 \h </w:instrText>
        </w:r>
        <w:r w:rsidR="000F77DF">
          <w:rPr>
            <w:noProof/>
            <w:webHidden/>
          </w:rPr>
        </w:r>
        <w:r w:rsidR="000F77DF">
          <w:rPr>
            <w:noProof/>
            <w:webHidden/>
          </w:rPr>
          <w:fldChar w:fldCharType="separate"/>
        </w:r>
        <w:r w:rsidR="00B548D2">
          <w:rPr>
            <w:noProof/>
            <w:webHidden/>
          </w:rPr>
          <w:t>10</w:t>
        </w:r>
        <w:r w:rsidR="000F77DF">
          <w:rPr>
            <w:noProof/>
            <w:webHidden/>
          </w:rPr>
          <w:fldChar w:fldCharType="end"/>
        </w:r>
      </w:hyperlink>
    </w:p>
    <w:p w14:paraId="13651BC1" w14:textId="1678ADEA"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89991" w:history="1">
        <w:r w:rsidR="000F77DF" w:rsidRPr="00D2351A">
          <w:rPr>
            <w:rStyle w:val="Hyperlink"/>
            <w:noProof/>
          </w:rPr>
          <w:t>3.</w:t>
        </w:r>
        <w:r w:rsidR="000F77DF">
          <w:rPr>
            <w:rFonts w:eastAsiaTheme="minorEastAsia" w:cstheme="minorBidi"/>
            <w:b w:val="0"/>
            <w:bCs w:val="0"/>
            <w:caps w:val="0"/>
            <w:noProof/>
            <w:sz w:val="22"/>
            <w:szCs w:val="22"/>
            <w:lang w:eastAsia="en-GB" w:bidi="ar-SA"/>
          </w:rPr>
          <w:tab/>
        </w:r>
        <w:r w:rsidR="000F77DF" w:rsidRPr="00D2351A">
          <w:rPr>
            <w:rStyle w:val="Hyperlink"/>
            <w:noProof/>
          </w:rPr>
          <w:t>Microbiological assessment</w:t>
        </w:r>
        <w:r w:rsidR="000F77DF">
          <w:rPr>
            <w:noProof/>
            <w:webHidden/>
          </w:rPr>
          <w:tab/>
        </w:r>
        <w:r w:rsidR="000F77DF">
          <w:rPr>
            <w:noProof/>
            <w:webHidden/>
          </w:rPr>
          <w:fldChar w:fldCharType="begin"/>
        </w:r>
        <w:r w:rsidR="000F77DF">
          <w:rPr>
            <w:noProof/>
            <w:webHidden/>
          </w:rPr>
          <w:instrText xml:space="preserve"> PAGEREF _Toc56089991 \h </w:instrText>
        </w:r>
        <w:r w:rsidR="000F77DF">
          <w:rPr>
            <w:noProof/>
            <w:webHidden/>
          </w:rPr>
        </w:r>
        <w:r w:rsidR="000F77DF">
          <w:rPr>
            <w:noProof/>
            <w:webHidden/>
          </w:rPr>
          <w:fldChar w:fldCharType="separate"/>
        </w:r>
        <w:r w:rsidR="00B548D2">
          <w:rPr>
            <w:noProof/>
            <w:webHidden/>
          </w:rPr>
          <w:t>10</w:t>
        </w:r>
        <w:r w:rsidR="000F77DF">
          <w:rPr>
            <w:noProof/>
            <w:webHidden/>
          </w:rPr>
          <w:fldChar w:fldCharType="end"/>
        </w:r>
      </w:hyperlink>
    </w:p>
    <w:p w14:paraId="28E67928" w14:textId="63C7FBAC" w:rsidR="000F77DF" w:rsidRDefault="006574B6">
      <w:pPr>
        <w:pStyle w:val="TOC2"/>
        <w:rPr>
          <w:rFonts w:eastAsiaTheme="minorEastAsia" w:cstheme="minorBidi"/>
          <w:smallCaps w:val="0"/>
          <w:noProof/>
          <w:sz w:val="22"/>
          <w:szCs w:val="22"/>
          <w:lang w:eastAsia="en-GB" w:bidi="ar-SA"/>
        </w:rPr>
      </w:pPr>
      <w:hyperlink w:anchor="_Toc56089992" w:history="1">
        <w:r w:rsidR="000F77DF" w:rsidRPr="00D2351A">
          <w:rPr>
            <w:rStyle w:val="Hyperlink"/>
            <w:noProof/>
          </w:rPr>
          <w:t>3.1</w:t>
        </w:r>
        <w:r w:rsidR="000F77DF">
          <w:rPr>
            <w:rFonts w:eastAsiaTheme="minorEastAsia" w:cstheme="minorBidi"/>
            <w:smallCaps w:val="0"/>
            <w:noProof/>
            <w:sz w:val="22"/>
            <w:szCs w:val="22"/>
            <w:lang w:eastAsia="en-GB" w:bidi="ar-SA"/>
          </w:rPr>
          <w:tab/>
        </w:r>
        <w:r w:rsidR="000F77DF" w:rsidRPr="00D2351A">
          <w:rPr>
            <w:rStyle w:val="Hyperlink"/>
            <w:noProof/>
          </w:rPr>
          <w:t>Objectives for the microbiological assessment</w:t>
        </w:r>
        <w:r w:rsidR="000F77DF">
          <w:rPr>
            <w:noProof/>
            <w:webHidden/>
          </w:rPr>
          <w:tab/>
        </w:r>
        <w:r w:rsidR="000F77DF">
          <w:rPr>
            <w:noProof/>
            <w:webHidden/>
          </w:rPr>
          <w:fldChar w:fldCharType="begin"/>
        </w:r>
        <w:r w:rsidR="000F77DF">
          <w:rPr>
            <w:noProof/>
            <w:webHidden/>
          </w:rPr>
          <w:instrText xml:space="preserve"> PAGEREF _Toc56089992 \h </w:instrText>
        </w:r>
        <w:r w:rsidR="000F77DF">
          <w:rPr>
            <w:noProof/>
            <w:webHidden/>
          </w:rPr>
        </w:r>
        <w:r w:rsidR="000F77DF">
          <w:rPr>
            <w:noProof/>
            <w:webHidden/>
          </w:rPr>
          <w:fldChar w:fldCharType="separate"/>
        </w:r>
        <w:r w:rsidR="00B548D2">
          <w:rPr>
            <w:noProof/>
            <w:webHidden/>
          </w:rPr>
          <w:t>10</w:t>
        </w:r>
        <w:r w:rsidR="000F77DF">
          <w:rPr>
            <w:noProof/>
            <w:webHidden/>
          </w:rPr>
          <w:fldChar w:fldCharType="end"/>
        </w:r>
      </w:hyperlink>
    </w:p>
    <w:p w14:paraId="2CC2B64B" w14:textId="7725BE73" w:rsidR="000F77DF" w:rsidRDefault="006574B6">
      <w:pPr>
        <w:pStyle w:val="TOC2"/>
        <w:rPr>
          <w:rFonts w:eastAsiaTheme="minorEastAsia" w:cstheme="minorBidi"/>
          <w:smallCaps w:val="0"/>
          <w:noProof/>
          <w:sz w:val="22"/>
          <w:szCs w:val="22"/>
          <w:lang w:eastAsia="en-GB" w:bidi="ar-SA"/>
        </w:rPr>
      </w:pPr>
      <w:hyperlink w:anchor="_Toc56089993" w:history="1">
        <w:r w:rsidR="000F77DF" w:rsidRPr="00D2351A">
          <w:rPr>
            <w:rStyle w:val="Hyperlink"/>
            <w:noProof/>
          </w:rPr>
          <w:t>3.2</w:t>
        </w:r>
        <w:r w:rsidR="000F77DF">
          <w:rPr>
            <w:rFonts w:eastAsiaTheme="minorEastAsia" w:cstheme="minorBidi"/>
            <w:smallCaps w:val="0"/>
            <w:noProof/>
            <w:sz w:val="22"/>
            <w:szCs w:val="22"/>
            <w:lang w:eastAsia="en-GB" w:bidi="ar-SA"/>
          </w:rPr>
          <w:tab/>
        </w:r>
        <w:r w:rsidR="000F77DF" w:rsidRPr="00D2351A">
          <w:rPr>
            <w:rStyle w:val="Hyperlink"/>
            <w:noProof/>
          </w:rPr>
          <w:t>Microbiological hazards in rapeseed protein isolate</w:t>
        </w:r>
        <w:r w:rsidR="000F77DF">
          <w:rPr>
            <w:noProof/>
            <w:webHidden/>
          </w:rPr>
          <w:tab/>
        </w:r>
        <w:r w:rsidR="000F77DF">
          <w:rPr>
            <w:noProof/>
            <w:webHidden/>
          </w:rPr>
          <w:fldChar w:fldCharType="begin"/>
        </w:r>
        <w:r w:rsidR="000F77DF">
          <w:rPr>
            <w:noProof/>
            <w:webHidden/>
          </w:rPr>
          <w:instrText xml:space="preserve"> PAGEREF _Toc56089993 \h </w:instrText>
        </w:r>
        <w:r w:rsidR="000F77DF">
          <w:rPr>
            <w:noProof/>
            <w:webHidden/>
          </w:rPr>
        </w:r>
        <w:r w:rsidR="000F77DF">
          <w:rPr>
            <w:noProof/>
            <w:webHidden/>
          </w:rPr>
          <w:fldChar w:fldCharType="separate"/>
        </w:r>
        <w:r w:rsidR="00B548D2">
          <w:rPr>
            <w:noProof/>
            <w:webHidden/>
          </w:rPr>
          <w:t>11</w:t>
        </w:r>
        <w:r w:rsidR="000F77DF">
          <w:rPr>
            <w:noProof/>
            <w:webHidden/>
          </w:rPr>
          <w:fldChar w:fldCharType="end"/>
        </w:r>
      </w:hyperlink>
    </w:p>
    <w:p w14:paraId="44D82F04" w14:textId="1A6B5374" w:rsidR="000F77DF" w:rsidRDefault="006574B6">
      <w:pPr>
        <w:pStyle w:val="TOC2"/>
        <w:rPr>
          <w:rFonts w:eastAsiaTheme="minorEastAsia" w:cstheme="minorBidi"/>
          <w:smallCaps w:val="0"/>
          <w:noProof/>
          <w:sz w:val="22"/>
          <w:szCs w:val="22"/>
          <w:lang w:eastAsia="en-GB" w:bidi="ar-SA"/>
        </w:rPr>
      </w:pPr>
      <w:hyperlink w:anchor="_Toc56089994" w:history="1">
        <w:r w:rsidR="000F77DF" w:rsidRPr="00D2351A">
          <w:rPr>
            <w:rStyle w:val="Hyperlink"/>
            <w:noProof/>
          </w:rPr>
          <w:t>3.3</w:t>
        </w:r>
        <w:r w:rsidR="000F77DF">
          <w:rPr>
            <w:rFonts w:eastAsiaTheme="minorEastAsia" w:cstheme="minorBidi"/>
            <w:smallCaps w:val="0"/>
            <w:noProof/>
            <w:sz w:val="22"/>
            <w:szCs w:val="22"/>
            <w:lang w:eastAsia="en-GB" w:bidi="ar-SA"/>
          </w:rPr>
          <w:tab/>
        </w:r>
        <w:r w:rsidR="000F77DF" w:rsidRPr="00D2351A">
          <w:rPr>
            <w:rStyle w:val="Hyperlink"/>
            <w:noProof/>
          </w:rPr>
          <w:t>Manufacturing process and controls</w:t>
        </w:r>
        <w:r w:rsidR="000F77DF">
          <w:rPr>
            <w:noProof/>
            <w:webHidden/>
          </w:rPr>
          <w:tab/>
        </w:r>
        <w:r w:rsidR="000F77DF">
          <w:rPr>
            <w:noProof/>
            <w:webHidden/>
          </w:rPr>
          <w:fldChar w:fldCharType="begin"/>
        </w:r>
        <w:r w:rsidR="000F77DF">
          <w:rPr>
            <w:noProof/>
            <w:webHidden/>
          </w:rPr>
          <w:instrText xml:space="preserve"> PAGEREF _Toc56089994 \h </w:instrText>
        </w:r>
        <w:r w:rsidR="000F77DF">
          <w:rPr>
            <w:noProof/>
            <w:webHidden/>
          </w:rPr>
        </w:r>
        <w:r w:rsidR="000F77DF">
          <w:rPr>
            <w:noProof/>
            <w:webHidden/>
          </w:rPr>
          <w:fldChar w:fldCharType="separate"/>
        </w:r>
        <w:r w:rsidR="00B548D2">
          <w:rPr>
            <w:noProof/>
            <w:webHidden/>
          </w:rPr>
          <w:t>12</w:t>
        </w:r>
        <w:r w:rsidR="000F77DF">
          <w:rPr>
            <w:noProof/>
            <w:webHidden/>
          </w:rPr>
          <w:fldChar w:fldCharType="end"/>
        </w:r>
      </w:hyperlink>
    </w:p>
    <w:p w14:paraId="34908924" w14:textId="5467C34F" w:rsidR="000F77DF" w:rsidRDefault="006574B6">
      <w:pPr>
        <w:pStyle w:val="TOC2"/>
        <w:rPr>
          <w:rFonts w:eastAsiaTheme="minorEastAsia" w:cstheme="minorBidi"/>
          <w:smallCaps w:val="0"/>
          <w:noProof/>
          <w:sz w:val="22"/>
          <w:szCs w:val="22"/>
          <w:lang w:eastAsia="en-GB" w:bidi="ar-SA"/>
        </w:rPr>
      </w:pPr>
      <w:hyperlink w:anchor="_Toc56089995" w:history="1">
        <w:r w:rsidR="000F77DF" w:rsidRPr="00D2351A">
          <w:rPr>
            <w:rStyle w:val="Hyperlink"/>
            <w:noProof/>
          </w:rPr>
          <w:t>3.4</w:t>
        </w:r>
        <w:r w:rsidR="000F77DF">
          <w:rPr>
            <w:rFonts w:eastAsiaTheme="minorEastAsia" w:cstheme="minorBidi"/>
            <w:smallCaps w:val="0"/>
            <w:noProof/>
            <w:sz w:val="22"/>
            <w:szCs w:val="22"/>
            <w:lang w:eastAsia="en-GB" w:bidi="ar-SA"/>
          </w:rPr>
          <w:tab/>
        </w:r>
        <w:r w:rsidR="000F77DF" w:rsidRPr="00D2351A">
          <w:rPr>
            <w:rStyle w:val="Hyperlink"/>
            <w:noProof/>
          </w:rPr>
          <w:t>Microbiological risk assessment</w:t>
        </w:r>
        <w:r w:rsidR="000F77DF">
          <w:rPr>
            <w:noProof/>
            <w:webHidden/>
          </w:rPr>
          <w:tab/>
        </w:r>
        <w:r w:rsidR="000F77DF">
          <w:rPr>
            <w:noProof/>
            <w:webHidden/>
          </w:rPr>
          <w:fldChar w:fldCharType="begin"/>
        </w:r>
        <w:r w:rsidR="000F77DF">
          <w:rPr>
            <w:noProof/>
            <w:webHidden/>
          </w:rPr>
          <w:instrText xml:space="preserve"> PAGEREF _Toc56089995 \h </w:instrText>
        </w:r>
        <w:r w:rsidR="000F77DF">
          <w:rPr>
            <w:noProof/>
            <w:webHidden/>
          </w:rPr>
        </w:r>
        <w:r w:rsidR="000F77DF">
          <w:rPr>
            <w:noProof/>
            <w:webHidden/>
          </w:rPr>
          <w:fldChar w:fldCharType="separate"/>
        </w:r>
        <w:r w:rsidR="00B548D2">
          <w:rPr>
            <w:noProof/>
            <w:webHidden/>
          </w:rPr>
          <w:t>12</w:t>
        </w:r>
        <w:r w:rsidR="000F77DF">
          <w:rPr>
            <w:noProof/>
            <w:webHidden/>
          </w:rPr>
          <w:fldChar w:fldCharType="end"/>
        </w:r>
      </w:hyperlink>
    </w:p>
    <w:p w14:paraId="27E9F801" w14:textId="7DC7A6D9" w:rsidR="000F77DF" w:rsidRDefault="006574B6">
      <w:pPr>
        <w:pStyle w:val="TOC2"/>
        <w:rPr>
          <w:rFonts w:eastAsiaTheme="minorEastAsia" w:cstheme="minorBidi"/>
          <w:smallCaps w:val="0"/>
          <w:noProof/>
          <w:sz w:val="22"/>
          <w:szCs w:val="22"/>
          <w:lang w:eastAsia="en-GB" w:bidi="ar-SA"/>
        </w:rPr>
      </w:pPr>
      <w:hyperlink w:anchor="_Toc56089996" w:history="1">
        <w:r w:rsidR="000F77DF" w:rsidRPr="00D2351A">
          <w:rPr>
            <w:rStyle w:val="Hyperlink"/>
            <w:noProof/>
          </w:rPr>
          <w:t>3.5</w:t>
        </w:r>
        <w:r w:rsidR="000F77DF">
          <w:rPr>
            <w:rFonts w:eastAsiaTheme="minorEastAsia" w:cstheme="minorBidi"/>
            <w:smallCaps w:val="0"/>
            <w:noProof/>
            <w:sz w:val="22"/>
            <w:szCs w:val="22"/>
            <w:lang w:eastAsia="en-GB" w:bidi="ar-SA"/>
          </w:rPr>
          <w:tab/>
        </w:r>
        <w:r w:rsidR="000F77DF" w:rsidRPr="00D2351A">
          <w:rPr>
            <w:rStyle w:val="Hyperlink"/>
            <w:noProof/>
          </w:rPr>
          <w:t>Microbiological risk assessment conclusions</w:t>
        </w:r>
        <w:r w:rsidR="000F77DF">
          <w:rPr>
            <w:noProof/>
            <w:webHidden/>
          </w:rPr>
          <w:tab/>
        </w:r>
        <w:r w:rsidR="000F77DF">
          <w:rPr>
            <w:noProof/>
            <w:webHidden/>
          </w:rPr>
          <w:fldChar w:fldCharType="begin"/>
        </w:r>
        <w:r w:rsidR="000F77DF">
          <w:rPr>
            <w:noProof/>
            <w:webHidden/>
          </w:rPr>
          <w:instrText xml:space="preserve"> PAGEREF _Toc56089996 \h </w:instrText>
        </w:r>
        <w:r w:rsidR="000F77DF">
          <w:rPr>
            <w:noProof/>
            <w:webHidden/>
          </w:rPr>
        </w:r>
        <w:r w:rsidR="000F77DF">
          <w:rPr>
            <w:noProof/>
            <w:webHidden/>
          </w:rPr>
          <w:fldChar w:fldCharType="separate"/>
        </w:r>
        <w:r w:rsidR="00B548D2">
          <w:rPr>
            <w:noProof/>
            <w:webHidden/>
          </w:rPr>
          <w:t>14</w:t>
        </w:r>
        <w:r w:rsidR="000F77DF">
          <w:rPr>
            <w:noProof/>
            <w:webHidden/>
          </w:rPr>
          <w:fldChar w:fldCharType="end"/>
        </w:r>
      </w:hyperlink>
    </w:p>
    <w:p w14:paraId="55DC149B" w14:textId="3E5CC9BD"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89997" w:history="1">
        <w:r w:rsidR="000F77DF" w:rsidRPr="00D2351A">
          <w:rPr>
            <w:rStyle w:val="Hyperlink"/>
            <w:noProof/>
          </w:rPr>
          <w:t>4.</w:t>
        </w:r>
        <w:r w:rsidR="000F77DF">
          <w:rPr>
            <w:rFonts w:eastAsiaTheme="minorEastAsia" w:cstheme="minorBidi"/>
            <w:b w:val="0"/>
            <w:bCs w:val="0"/>
            <w:caps w:val="0"/>
            <w:noProof/>
            <w:sz w:val="22"/>
            <w:szCs w:val="22"/>
            <w:lang w:eastAsia="en-GB" w:bidi="ar-SA"/>
          </w:rPr>
          <w:tab/>
        </w:r>
        <w:r w:rsidR="000F77DF" w:rsidRPr="00D2351A">
          <w:rPr>
            <w:rStyle w:val="Hyperlink"/>
            <w:noProof/>
          </w:rPr>
          <w:t>Nutrition risk assessment</w:t>
        </w:r>
        <w:r w:rsidR="000F77DF">
          <w:rPr>
            <w:noProof/>
            <w:webHidden/>
          </w:rPr>
          <w:tab/>
        </w:r>
        <w:r w:rsidR="000F77DF">
          <w:rPr>
            <w:noProof/>
            <w:webHidden/>
          </w:rPr>
          <w:fldChar w:fldCharType="begin"/>
        </w:r>
        <w:r w:rsidR="000F77DF">
          <w:rPr>
            <w:noProof/>
            <w:webHidden/>
          </w:rPr>
          <w:instrText xml:space="preserve"> PAGEREF _Toc56089997 \h </w:instrText>
        </w:r>
        <w:r w:rsidR="000F77DF">
          <w:rPr>
            <w:noProof/>
            <w:webHidden/>
          </w:rPr>
        </w:r>
        <w:r w:rsidR="000F77DF">
          <w:rPr>
            <w:noProof/>
            <w:webHidden/>
          </w:rPr>
          <w:fldChar w:fldCharType="separate"/>
        </w:r>
        <w:r w:rsidR="00B548D2">
          <w:rPr>
            <w:noProof/>
            <w:webHidden/>
          </w:rPr>
          <w:t>14</w:t>
        </w:r>
        <w:r w:rsidR="000F77DF">
          <w:rPr>
            <w:noProof/>
            <w:webHidden/>
          </w:rPr>
          <w:fldChar w:fldCharType="end"/>
        </w:r>
      </w:hyperlink>
    </w:p>
    <w:p w14:paraId="770F5AC4" w14:textId="0590B985" w:rsidR="000F77DF" w:rsidRDefault="006574B6">
      <w:pPr>
        <w:pStyle w:val="TOC2"/>
        <w:rPr>
          <w:rFonts w:eastAsiaTheme="minorEastAsia" w:cstheme="minorBidi"/>
          <w:smallCaps w:val="0"/>
          <w:noProof/>
          <w:sz w:val="22"/>
          <w:szCs w:val="22"/>
          <w:lang w:eastAsia="en-GB" w:bidi="ar-SA"/>
        </w:rPr>
      </w:pPr>
      <w:hyperlink w:anchor="_Toc56089998" w:history="1">
        <w:r w:rsidR="000F77DF" w:rsidRPr="00D2351A">
          <w:rPr>
            <w:rStyle w:val="Hyperlink"/>
            <w:noProof/>
          </w:rPr>
          <w:t>4.1</w:t>
        </w:r>
        <w:r w:rsidR="000F77DF">
          <w:rPr>
            <w:rFonts w:eastAsiaTheme="minorEastAsia" w:cstheme="minorBidi"/>
            <w:smallCaps w:val="0"/>
            <w:noProof/>
            <w:sz w:val="22"/>
            <w:szCs w:val="22"/>
            <w:lang w:eastAsia="en-GB" w:bidi="ar-SA"/>
          </w:rPr>
          <w:tab/>
        </w:r>
        <w:r w:rsidR="000F77DF" w:rsidRPr="00D2351A">
          <w:rPr>
            <w:rStyle w:val="Hyperlink"/>
            <w:noProof/>
          </w:rPr>
          <w:t>Objectives for the nutrition risk assessment</w:t>
        </w:r>
        <w:r w:rsidR="000F77DF">
          <w:rPr>
            <w:noProof/>
            <w:webHidden/>
          </w:rPr>
          <w:tab/>
        </w:r>
        <w:r w:rsidR="000F77DF">
          <w:rPr>
            <w:noProof/>
            <w:webHidden/>
          </w:rPr>
          <w:fldChar w:fldCharType="begin"/>
        </w:r>
        <w:r w:rsidR="000F77DF">
          <w:rPr>
            <w:noProof/>
            <w:webHidden/>
          </w:rPr>
          <w:instrText xml:space="preserve"> PAGEREF _Toc56089998 \h </w:instrText>
        </w:r>
        <w:r w:rsidR="000F77DF">
          <w:rPr>
            <w:noProof/>
            <w:webHidden/>
          </w:rPr>
        </w:r>
        <w:r w:rsidR="000F77DF">
          <w:rPr>
            <w:noProof/>
            <w:webHidden/>
          </w:rPr>
          <w:fldChar w:fldCharType="separate"/>
        </w:r>
        <w:r w:rsidR="00B548D2">
          <w:rPr>
            <w:noProof/>
            <w:webHidden/>
          </w:rPr>
          <w:t>14</w:t>
        </w:r>
        <w:r w:rsidR="000F77DF">
          <w:rPr>
            <w:noProof/>
            <w:webHidden/>
          </w:rPr>
          <w:fldChar w:fldCharType="end"/>
        </w:r>
      </w:hyperlink>
    </w:p>
    <w:p w14:paraId="231A16F4" w14:textId="0A2DD1ED" w:rsidR="000F77DF" w:rsidRDefault="006574B6">
      <w:pPr>
        <w:pStyle w:val="TOC2"/>
        <w:rPr>
          <w:rFonts w:eastAsiaTheme="minorEastAsia" w:cstheme="minorBidi"/>
          <w:smallCaps w:val="0"/>
          <w:noProof/>
          <w:sz w:val="22"/>
          <w:szCs w:val="22"/>
          <w:lang w:eastAsia="en-GB" w:bidi="ar-SA"/>
        </w:rPr>
      </w:pPr>
      <w:hyperlink w:anchor="_Toc56089999" w:history="1">
        <w:r w:rsidR="000F77DF" w:rsidRPr="00D2351A">
          <w:rPr>
            <w:rStyle w:val="Hyperlink"/>
            <w:noProof/>
          </w:rPr>
          <w:t>4.2</w:t>
        </w:r>
        <w:r w:rsidR="000F77DF">
          <w:rPr>
            <w:rFonts w:eastAsiaTheme="minorEastAsia" w:cstheme="minorBidi"/>
            <w:smallCaps w:val="0"/>
            <w:noProof/>
            <w:sz w:val="22"/>
            <w:szCs w:val="22"/>
            <w:lang w:eastAsia="en-GB" w:bidi="ar-SA"/>
          </w:rPr>
          <w:tab/>
        </w:r>
        <w:r w:rsidR="000F77DF" w:rsidRPr="00D2351A">
          <w:rPr>
            <w:rStyle w:val="Hyperlink"/>
            <w:noProof/>
          </w:rPr>
          <w:t>Approach for the nutrition risk assessment</w:t>
        </w:r>
        <w:r w:rsidR="000F77DF">
          <w:rPr>
            <w:noProof/>
            <w:webHidden/>
          </w:rPr>
          <w:tab/>
        </w:r>
        <w:r w:rsidR="000F77DF">
          <w:rPr>
            <w:noProof/>
            <w:webHidden/>
          </w:rPr>
          <w:fldChar w:fldCharType="begin"/>
        </w:r>
        <w:r w:rsidR="000F77DF">
          <w:rPr>
            <w:noProof/>
            <w:webHidden/>
          </w:rPr>
          <w:instrText xml:space="preserve"> PAGEREF _Toc56089999 \h </w:instrText>
        </w:r>
        <w:r w:rsidR="000F77DF">
          <w:rPr>
            <w:noProof/>
            <w:webHidden/>
          </w:rPr>
        </w:r>
        <w:r w:rsidR="000F77DF">
          <w:rPr>
            <w:noProof/>
            <w:webHidden/>
          </w:rPr>
          <w:fldChar w:fldCharType="separate"/>
        </w:r>
        <w:r w:rsidR="00B548D2">
          <w:rPr>
            <w:noProof/>
            <w:webHidden/>
          </w:rPr>
          <w:t>14</w:t>
        </w:r>
        <w:r w:rsidR="000F77DF">
          <w:rPr>
            <w:noProof/>
            <w:webHidden/>
          </w:rPr>
          <w:fldChar w:fldCharType="end"/>
        </w:r>
      </w:hyperlink>
    </w:p>
    <w:p w14:paraId="3AEF4AF5" w14:textId="623F8248" w:rsidR="000F77DF" w:rsidRDefault="006574B6">
      <w:pPr>
        <w:pStyle w:val="TOC2"/>
        <w:rPr>
          <w:rFonts w:eastAsiaTheme="minorEastAsia" w:cstheme="minorBidi"/>
          <w:smallCaps w:val="0"/>
          <w:noProof/>
          <w:sz w:val="22"/>
          <w:szCs w:val="22"/>
          <w:lang w:eastAsia="en-GB" w:bidi="ar-SA"/>
        </w:rPr>
      </w:pPr>
      <w:hyperlink w:anchor="_Toc56090000" w:history="1">
        <w:r w:rsidR="000F77DF" w:rsidRPr="00D2351A">
          <w:rPr>
            <w:rStyle w:val="Hyperlink"/>
            <w:noProof/>
          </w:rPr>
          <w:t>4.3</w:t>
        </w:r>
        <w:r w:rsidR="000F77DF">
          <w:rPr>
            <w:rFonts w:eastAsiaTheme="minorEastAsia" w:cstheme="minorBidi"/>
            <w:smallCaps w:val="0"/>
            <w:noProof/>
            <w:sz w:val="22"/>
            <w:szCs w:val="22"/>
            <w:lang w:eastAsia="en-GB" w:bidi="ar-SA"/>
          </w:rPr>
          <w:tab/>
        </w:r>
        <w:r w:rsidR="000F77DF" w:rsidRPr="00D2351A">
          <w:rPr>
            <w:rStyle w:val="Hyperlink"/>
            <w:noProof/>
          </w:rPr>
          <w:t>Protein quality</w:t>
        </w:r>
        <w:r w:rsidR="000F77DF">
          <w:rPr>
            <w:noProof/>
            <w:webHidden/>
          </w:rPr>
          <w:tab/>
        </w:r>
        <w:r w:rsidR="000F77DF">
          <w:rPr>
            <w:noProof/>
            <w:webHidden/>
          </w:rPr>
          <w:fldChar w:fldCharType="begin"/>
        </w:r>
        <w:r w:rsidR="000F77DF">
          <w:rPr>
            <w:noProof/>
            <w:webHidden/>
          </w:rPr>
          <w:instrText xml:space="preserve"> PAGEREF _Toc56090000 \h </w:instrText>
        </w:r>
        <w:r w:rsidR="000F77DF">
          <w:rPr>
            <w:noProof/>
            <w:webHidden/>
          </w:rPr>
        </w:r>
        <w:r w:rsidR="000F77DF">
          <w:rPr>
            <w:noProof/>
            <w:webHidden/>
          </w:rPr>
          <w:fldChar w:fldCharType="separate"/>
        </w:r>
        <w:r w:rsidR="00B548D2">
          <w:rPr>
            <w:noProof/>
            <w:webHidden/>
          </w:rPr>
          <w:t>15</w:t>
        </w:r>
        <w:r w:rsidR="000F77DF">
          <w:rPr>
            <w:noProof/>
            <w:webHidden/>
          </w:rPr>
          <w:fldChar w:fldCharType="end"/>
        </w:r>
      </w:hyperlink>
    </w:p>
    <w:p w14:paraId="091B7B50" w14:textId="7D4D6937" w:rsidR="000F77DF" w:rsidRDefault="006574B6">
      <w:pPr>
        <w:pStyle w:val="TOC2"/>
        <w:rPr>
          <w:rFonts w:eastAsiaTheme="minorEastAsia" w:cstheme="minorBidi"/>
          <w:smallCaps w:val="0"/>
          <w:noProof/>
          <w:sz w:val="22"/>
          <w:szCs w:val="22"/>
          <w:lang w:eastAsia="en-GB" w:bidi="ar-SA"/>
        </w:rPr>
      </w:pPr>
      <w:hyperlink w:anchor="_Toc56090001" w:history="1">
        <w:r w:rsidR="000F77DF" w:rsidRPr="00D2351A">
          <w:rPr>
            <w:rStyle w:val="Hyperlink"/>
            <w:noProof/>
          </w:rPr>
          <w:t>4.4</w:t>
        </w:r>
        <w:r w:rsidR="000F77DF">
          <w:rPr>
            <w:rFonts w:eastAsiaTheme="minorEastAsia" w:cstheme="minorBidi"/>
            <w:smallCaps w:val="0"/>
            <w:noProof/>
            <w:sz w:val="22"/>
            <w:szCs w:val="22"/>
            <w:lang w:eastAsia="en-GB" w:bidi="ar-SA"/>
          </w:rPr>
          <w:tab/>
        </w:r>
        <w:r w:rsidR="000F77DF" w:rsidRPr="00D2351A">
          <w:rPr>
            <w:rStyle w:val="Hyperlink"/>
            <w:noProof/>
          </w:rPr>
          <w:t>Anti-nutritional factors</w:t>
        </w:r>
        <w:r w:rsidR="000F77DF">
          <w:rPr>
            <w:noProof/>
            <w:webHidden/>
          </w:rPr>
          <w:tab/>
        </w:r>
        <w:r w:rsidR="000F77DF">
          <w:rPr>
            <w:noProof/>
            <w:webHidden/>
          </w:rPr>
          <w:fldChar w:fldCharType="begin"/>
        </w:r>
        <w:r w:rsidR="000F77DF">
          <w:rPr>
            <w:noProof/>
            <w:webHidden/>
          </w:rPr>
          <w:instrText xml:space="preserve"> PAGEREF _Toc56090001 \h </w:instrText>
        </w:r>
        <w:r w:rsidR="000F77DF">
          <w:rPr>
            <w:noProof/>
            <w:webHidden/>
          </w:rPr>
        </w:r>
        <w:r w:rsidR="000F77DF">
          <w:rPr>
            <w:noProof/>
            <w:webHidden/>
          </w:rPr>
          <w:fldChar w:fldCharType="separate"/>
        </w:r>
        <w:r w:rsidR="00B548D2">
          <w:rPr>
            <w:noProof/>
            <w:webHidden/>
          </w:rPr>
          <w:t>17</w:t>
        </w:r>
        <w:r w:rsidR="000F77DF">
          <w:rPr>
            <w:noProof/>
            <w:webHidden/>
          </w:rPr>
          <w:fldChar w:fldCharType="end"/>
        </w:r>
      </w:hyperlink>
    </w:p>
    <w:p w14:paraId="7E566B86" w14:textId="767FE883" w:rsidR="000F77DF" w:rsidRDefault="006574B6">
      <w:pPr>
        <w:pStyle w:val="TOC3"/>
        <w:rPr>
          <w:rFonts w:eastAsiaTheme="minorEastAsia" w:cstheme="minorBidi"/>
          <w:i w:val="0"/>
          <w:iCs w:val="0"/>
          <w:noProof/>
          <w:sz w:val="22"/>
          <w:szCs w:val="22"/>
          <w:lang w:eastAsia="en-GB" w:bidi="ar-SA"/>
        </w:rPr>
      </w:pPr>
      <w:hyperlink w:anchor="_Toc56090002" w:history="1">
        <w:r w:rsidR="000F77DF" w:rsidRPr="00D2351A">
          <w:rPr>
            <w:rStyle w:val="Hyperlink"/>
            <w:noProof/>
          </w:rPr>
          <w:t>4.4.1</w:t>
        </w:r>
        <w:r w:rsidR="000F77DF">
          <w:rPr>
            <w:rFonts w:eastAsiaTheme="minorEastAsia" w:cstheme="minorBidi"/>
            <w:i w:val="0"/>
            <w:iCs w:val="0"/>
            <w:noProof/>
            <w:sz w:val="22"/>
            <w:szCs w:val="22"/>
            <w:lang w:eastAsia="en-GB" w:bidi="ar-SA"/>
          </w:rPr>
          <w:tab/>
        </w:r>
        <w:r w:rsidR="000F77DF" w:rsidRPr="00D2351A">
          <w:rPr>
            <w:rStyle w:val="Hyperlink"/>
            <w:noProof/>
          </w:rPr>
          <w:t>Protease inhibitors</w:t>
        </w:r>
        <w:r w:rsidR="000F77DF">
          <w:rPr>
            <w:noProof/>
            <w:webHidden/>
          </w:rPr>
          <w:tab/>
        </w:r>
        <w:r w:rsidR="000F77DF">
          <w:rPr>
            <w:noProof/>
            <w:webHidden/>
          </w:rPr>
          <w:fldChar w:fldCharType="begin"/>
        </w:r>
        <w:r w:rsidR="000F77DF">
          <w:rPr>
            <w:noProof/>
            <w:webHidden/>
          </w:rPr>
          <w:instrText xml:space="preserve"> PAGEREF _Toc56090002 \h </w:instrText>
        </w:r>
        <w:r w:rsidR="000F77DF">
          <w:rPr>
            <w:noProof/>
            <w:webHidden/>
          </w:rPr>
        </w:r>
        <w:r w:rsidR="000F77DF">
          <w:rPr>
            <w:noProof/>
            <w:webHidden/>
          </w:rPr>
          <w:fldChar w:fldCharType="separate"/>
        </w:r>
        <w:r w:rsidR="00B548D2">
          <w:rPr>
            <w:noProof/>
            <w:webHidden/>
          </w:rPr>
          <w:t>18</w:t>
        </w:r>
        <w:r w:rsidR="000F77DF">
          <w:rPr>
            <w:noProof/>
            <w:webHidden/>
          </w:rPr>
          <w:fldChar w:fldCharType="end"/>
        </w:r>
      </w:hyperlink>
    </w:p>
    <w:p w14:paraId="5467EE1D" w14:textId="5AEF2D1D" w:rsidR="000F77DF" w:rsidRDefault="006574B6">
      <w:pPr>
        <w:pStyle w:val="TOC3"/>
        <w:rPr>
          <w:rFonts w:eastAsiaTheme="minorEastAsia" w:cstheme="minorBidi"/>
          <w:i w:val="0"/>
          <w:iCs w:val="0"/>
          <w:noProof/>
          <w:sz w:val="22"/>
          <w:szCs w:val="22"/>
          <w:lang w:eastAsia="en-GB" w:bidi="ar-SA"/>
        </w:rPr>
      </w:pPr>
      <w:hyperlink w:anchor="_Toc56090003" w:history="1">
        <w:r w:rsidR="000F77DF" w:rsidRPr="00D2351A">
          <w:rPr>
            <w:rStyle w:val="Hyperlink"/>
            <w:noProof/>
          </w:rPr>
          <w:t>4.4.2</w:t>
        </w:r>
        <w:r w:rsidR="000F77DF">
          <w:rPr>
            <w:rFonts w:eastAsiaTheme="minorEastAsia" w:cstheme="minorBidi"/>
            <w:i w:val="0"/>
            <w:iCs w:val="0"/>
            <w:noProof/>
            <w:sz w:val="22"/>
            <w:szCs w:val="22"/>
            <w:lang w:eastAsia="en-GB" w:bidi="ar-SA"/>
          </w:rPr>
          <w:tab/>
        </w:r>
        <w:r w:rsidR="000F77DF" w:rsidRPr="00D2351A">
          <w:rPr>
            <w:rStyle w:val="Hyperlink"/>
            <w:noProof/>
          </w:rPr>
          <w:t>Phytate</w:t>
        </w:r>
        <w:r w:rsidR="000F77DF">
          <w:rPr>
            <w:noProof/>
            <w:webHidden/>
          </w:rPr>
          <w:tab/>
        </w:r>
        <w:r w:rsidR="000F77DF">
          <w:rPr>
            <w:noProof/>
            <w:webHidden/>
          </w:rPr>
          <w:fldChar w:fldCharType="begin"/>
        </w:r>
        <w:r w:rsidR="000F77DF">
          <w:rPr>
            <w:noProof/>
            <w:webHidden/>
          </w:rPr>
          <w:instrText xml:space="preserve"> PAGEREF _Toc56090003 \h </w:instrText>
        </w:r>
        <w:r w:rsidR="000F77DF">
          <w:rPr>
            <w:noProof/>
            <w:webHidden/>
          </w:rPr>
        </w:r>
        <w:r w:rsidR="000F77DF">
          <w:rPr>
            <w:noProof/>
            <w:webHidden/>
          </w:rPr>
          <w:fldChar w:fldCharType="separate"/>
        </w:r>
        <w:r w:rsidR="00B548D2">
          <w:rPr>
            <w:noProof/>
            <w:webHidden/>
          </w:rPr>
          <w:t>18</w:t>
        </w:r>
        <w:r w:rsidR="000F77DF">
          <w:rPr>
            <w:noProof/>
            <w:webHidden/>
          </w:rPr>
          <w:fldChar w:fldCharType="end"/>
        </w:r>
      </w:hyperlink>
    </w:p>
    <w:p w14:paraId="3226A0E2" w14:textId="0EC625A4" w:rsidR="000F77DF" w:rsidRDefault="006574B6">
      <w:pPr>
        <w:pStyle w:val="TOC3"/>
        <w:rPr>
          <w:rFonts w:eastAsiaTheme="minorEastAsia" w:cstheme="minorBidi"/>
          <w:i w:val="0"/>
          <w:iCs w:val="0"/>
          <w:noProof/>
          <w:sz w:val="22"/>
          <w:szCs w:val="22"/>
          <w:lang w:eastAsia="en-GB" w:bidi="ar-SA"/>
        </w:rPr>
      </w:pPr>
      <w:hyperlink w:anchor="_Toc56090004" w:history="1">
        <w:r w:rsidR="000F77DF" w:rsidRPr="00D2351A">
          <w:rPr>
            <w:rStyle w:val="Hyperlink"/>
            <w:noProof/>
          </w:rPr>
          <w:t>4.4.3</w:t>
        </w:r>
        <w:r w:rsidR="000F77DF">
          <w:rPr>
            <w:rFonts w:eastAsiaTheme="minorEastAsia" w:cstheme="minorBidi"/>
            <w:i w:val="0"/>
            <w:iCs w:val="0"/>
            <w:noProof/>
            <w:sz w:val="22"/>
            <w:szCs w:val="22"/>
            <w:lang w:eastAsia="en-GB" w:bidi="ar-SA"/>
          </w:rPr>
          <w:tab/>
        </w:r>
        <w:r w:rsidR="000F77DF" w:rsidRPr="00D2351A">
          <w:rPr>
            <w:rStyle w:val="Hyperlink"/>
            <w:noProof/>
          </w:rPr>
          <w:t>Phenolic compounds</w:t>
        </w:r>
        <w:r w:rsidR="000F77DF">
          <w:rPr>
            <w:noProof/>
            <w:webHidden/>
          </w:rPr>
          <w:tab/>
        </w:r>
        <w:r w:rsidR="000F77DF">
          <w:rPr>
            <w:noProof/>
            <w:webHidden/>
          </w:rPr>
          <w:fldChar w:fldCharType="begin"/>
        </w:r>
        <w:r w:rsidR="000F77DF">
          <w:rPr>
            <w:noProof/>
            <w:webHidden/>
          </w:rPr>
          <w:instrText xml:space="preserve"> PAGEREF _Toc56090004 \h </w:instrText>
        </w:r>
        <w:r w:rsidR="000F77DF">
          <w:rPr>
            <w:noProof/>
            <w:webHidden/>
          </w:rPr>
        </w:r>
        <w:r w:rsidR="000F77DF">
          <w:rPr>
            <w:noProof/>
            <w:webHidden/>
          </w:rPr>
          <w:fldChar w:fldCharType="separate"/>
        </w:r>
        <w:r w:rsidR="00B548D2">
          <w:rPr>
            <w:noProof/>
            <w:webHidden/>
          </w:rPr>
          <w:t>22</w:t>
        </w:r>
        <w:r w:rsidR="000F77DF">
          <w:rPr>
            <w:noProof/>
            <w:webHidden/>
          </w:rPr>
          <w:fldChar w:fldCharType="end"/>
        </w:r>
      </w:hyperlink>
    </w:p>
    <w:p w14:paraId="0EF6C97C" w14:textId="7D302C74" w:rsidR="000F77DF" w:rsidRDefault="006574B6">
      <w:pPr>
        <w:pStyle w:val="TOC2"/>
        <w:rPr>
          <w:rFonts w:eastAsiaTheme="minorEastAsia" w:cstheme="minorBidi"/>
          <w:smallCaps w:val="0"/>
          <w:noProof/>
          <w:sz w:val="22"/>
          <w:szCs w:val="22"/>
          <w:lang w:eastAsia="en-GB" w:bidi="ar-SA"/>
        </w:rPr>
      </w:pPr>
      <w:hyperlink w:anchor="_Toc56090005" w:history="1">
        <w:r w:rsidR="000F77DF" w:rsidRPr="00D2351A">
          <w:rPr>
            <w:rStyle w:val="Hyperlink"/>
            <w:noProof/>
          </w:rPr>
          <w:t>4.5</w:t>
        </w:r>
        <w:r w:rsidR="000F77DF">
          <w:rPr>
            <w:rFonts w:eastAsiaTheme="minorEastAsia" w:cstheme="minorBidi"/>
            <w:smallCaps w:val="0"/>
            <w:noProof/>
            <w:sz w:val="22"/>
            <w:szCs w:val="22"/>
            <w:lang w:eastAsia="en-GB" w:bidi="ar-SA"/>
          </w:rPr>
          <w:tab/>
        </w:r>
        <w:r w:rsidR="000F77DF" w:rsidRPr="00D2351A">
          <w:rPr>
            <w:rStyle w:val="Hyperlink"/>
            <w:noProof/>
          </w:rPr>
          <w:t>Nutrition risk assessment conclusions</w:t>
        </w:r>
        <w:r w:rsidR="000F77DF">
          <w:rPr>
            <w:noProof/>
            <w:webHidden/>
          </w:rPr>
          <w:tab/>
        </w:r>
        <w:r w:rsidR="000F77DF">
          <w:rPr>
            <w:noProof/>
            <w:webHidden/>
          </w:rPr>
          <w:fldChar w:fldCharType="begin"/>
        </w:r>
        <w:r w:rsidR="000F77DF">
          <w:rPr>
            <w:noProof/>
            <w:webHidden/>
          </w:rPr>
          <w:instrText xml:space="preserve"> PAGEREF _Toc56090005 \h </w:instrText>
        </w:r>
        <w:r w:rsidR="000F77DF">
          <w:rPr>
            <w:noProof/>
            <w:webHidden/>
          </w:rPr>
        </w:r>
        <w:r w:rsidR="000F77DF">
          <w:rPr>
            <w:noProof/>
            <w:webHidden/>
          </w:rPr>
          <w:fldChar w:fldCharType="separate"/>
        </w:r>
        <w:r w:rsidR="00B548D2">
          <w:rPr>
            <w:noProof/>
            <w:webHidden/>
          </w:rPr>
          <w:t>23</w:t>
        </w:r>
        <w:r w:rsidR="000F77DF">
          <w:rPr>
            <w:noProof/>
            <w:webHidden/>
          </w:rPr>
          <w:fldChar w:fldCharType="end"/>
        </w:r>
      </w:hyperlink>
    </w:p>
    <w:p w14:paraId="2C9C432F" w14:textId="274044D1"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90006" w:history="1">
        <w:r w:rsidR="000F77DF" w:rsidRPr="00D2351A">
          <w:rPr>
            <w:rStyle w:val="Hyperlink"/>
            <w:noProof/>
          </w:rPr>
          <w:t>5.</w:t>
        </w:r>
        <w:r w:rsidR="000F77DF">
          <w:rPr>
            <w:rFonts w:eastAsiaTheme="minorEastAsia" w:cstheme="minorBidi"/>
            <w:b w:val="0"/>
            <w:bCs w:val="0"/>
            <w:caps w:val="0"/>
            <w:noProof/>
            <w:sz w:val="22"/>
            <w:szCs w:val="22"/>
            <w:lang w:eastAsia="en-GB" w:bidi="ar-SA"/>
          </w:rPr>
          <w:tab/>
        </w:r>
        <w:r w:rsidR="000F77DF" w:rsidRPr="00D2351A">
          <w:rPr>
            <w:rStyle w:val="Hyperlink"/>
            <w:noProof/>
          </w:rPr>
          <w:t>Toxicological assessment</w:t>
        </w:r>
        <w:r w:rsidR="000F77DF">
          <w:rPr>
            <w:noProof/>
            <w:webHidden/>
          </w:rPr>
          <w:tab/>
        </w:r>
        <w:r w:rsidR="000F77DF">
          <w:rPr>
            <w:noProof/>
            <w:webHidden/>
          </w:rPr>
          <w:fldChar w:fldCharType="begin"/>
        </w:r>
        <w:r w:rsidR="000F77DF">
          <w:rPr>
            <w:noProof/>
            <w:webHidden/>
          </w:rPr>
          <w:instrText xml:space="preserve"> PAGEREF _Toc56090006 \h </w:instrText>
        </w:r>
        <w:r w:rsidR="000F77DF">
          <w:rPr>
            <w:noProof/>
            <w:webHidden/>
          </w:rPr>
        </w:r>
        <w:r w:rsidR="000F77DF">
          <w:rPr>
            <w:noProof/>
            <w:webHidden/>
          </w:rPr>
          <w:fldChar w:fldCharType="separate"/>
        </w:r>
        <w:r w:rsidR="00B548D2">
          <w:rPr>
            <w:noProof/>
            <w:webHidden/>
          </w:rPr>
          <w:t>23</w:t>
        </w:r>
        <w:r w:rsidR="000F77DF">
          <w:rPr>
            <w:noProof/>
            <w:webHidden/>
          </w:rPr>
          <w:fldChar w:fldCharType="end"/>
        </w:r>
      </w:hyperlink>
    </w:p>
    <w:p w14:paraId="01CA3134" w14:textId="0791DBC5" w:rsidR="000F77DF" w:rsidRDefault="006574B6">
      <w:pPr>
        <w:pStyle w:val="TOC2"/>
        <w:rPr>
          <w:rFonts w:eastAsiaTheme="minorEastAsia" w:cstheme="minorBidi"/>
          <w:smallCaps w:val="0"/>
          <w:noProof/>
          <w:sz w:val="22"/>
          <w:szCs w:val="22"/>
          <w:lang w:eastAsia="en-GB" w:bidi="ar-SA"/>
        </w:rPr>
      </w:pPr>
      <w:hyperlink w:anchor="_Toc56090007" w:history="1">
        <w:r w:rsidR="000F77DF" w:rsidRPr="00D2351A">
          <w:rPr>
            <w:rStyle w:val="Hyperlink"/>
            <w:noProof/>
          </w:rPr>
          <w:t>5.1</w:t>
        </w:r>
        <w:r w:rsidR="000F77DF">
          <w:rPr>
            <w:rFonts w:eastAsiaTheme="minorEastAsia" w:cstheme="minorBidi"/>
            <w:smallCaps w:val="0"/>
            <w:noProof/>
            <w:sz w:val="22"/>
            <w:szCs w:val="22"/>
            <w:lang w:eastAsia="en-GB" w:bidi="ar-SA"/>
          </w:rPr>
          <w:tab/>
        </w:r>
        <w:r w:rsidR="000F77DF" w:rsidRPr="00D2351A">
          <w:rPr>
            <w:rStyle w:val="Hyperlink"/>
            <w:noProof/>
          </w:rPr>
          <w:t>Objective and scope of the toxicological assessment</w:t>
        </w:r>
        <w:r w:rsidR="000F77DF">
          <w:rPr>
            <w:noProof/>
            <w:webHidden/>
          </w:rPr>
          <w:tab/>
        </w:r>
        <w:r w:rsidR="000F77DF">
          <w:rPr>
            <w:noProof/>
            <w:webHidden/>
          </w:rPr>
          <w:fldChar w:fldCharType="begin"/>
        </w:r>
        <w:r w:rsidR="000F77DF">
          <w:rPr>
            <w:noProof/>
            <w:webHidden/>
          </w:rPr>
          <w:instrText xml:space="preserve"> PAGEREF _Toc56090007 \h </w:instrText>
        </w:r>
        <w:r w:rsidR="000F77DF">
          <w:rPr>
            <w:noProof/>
            <w:webHidden/>
          </w:rPr>
        </w:r>
        <w:r w:rsidR="000F77DF">
          <w:rPr>
            <w:noProof/>
            <w:webHidden/>
          </w:rPr>
          <w:fldChar w:fldCharType="separate"/>
        </w:r>
        <w:r w:rsidR="00B548D2">
          <w:rPr>
            <w:noProof/>
            <w:webHidden/>
          </w:rPr>
          <w:t>23</w:t>
        </w:r>
        <w:r w:rsidR="000F77DF">
          <w:rPr>
            <w:noProof/>
            <w:webHidden/>
          </w:rPr>
          <w:fldChar w:fldCharType="end"/>
        </w:r>
      </w:hyperlink>
    </w:p>
    <w:p w14:paraId="44CE442C" w14:textId="406B9E0F" w:rsidR="000F77DF" w:rsidRDefault="006574B6">
      <w:pPr>
        <w:pStyle w:val="TOC2"/>
        <w:rPr>
          <w:rFonts w:eastAsiaTheme="minorEastAsia" w:cstheme="minorBidi"/>
          <w:smallCaps w:val="0"/>
          <w:noProof/>
          <w:sz w:val="22"/>
          <w:szCs w:val="22"/>
          <w:lang w:eastAsia="en-GB" w:bidi="ar-SA"/>
        </w:rPr>
      </w:pPr>
      <w:hyperlink w:anchor="_Toc56090008" w:history="1">
        <w:r w:rsidR="000F77DF" w:rsidRPr="00D2351A">
          <w:rPr>
            <w:rStyle w:val="Hyperlink"/>
            <w:noProof/>
          </w:rPr>
          <w:t>5.2</w:t>
        </w:r>
        <w:r w:rsidR="000F77DF">
          <w:rPr>
            <w:rFonts w:eastAsiaTheme="minorEastAsia" w:cstheme="minorBidi"/>
            <w:smallCaps w:val="0"/>
            <w:noProof/>
            <w:sz w:val="22"/>
            <w:szCs w:val="22"/>
            <w:lang w:eastAsia="en-GB" w:bidi="ar-SA"/>
          </w:rPr>
          <w:tab/>
        </w:r>
        <w:r w:rsidR="000F77DF" w:rsidRPr="00D2351A">
          <w:rPr>
            <w:rStyle w:val="Hyperlink"/>
            <w:noProof/>
          </w:rPr>
          <w:t>Toxicological data</w:t>
        </w:r>
        <w:r w:rsidR="000F77DF">
          <w:rPr>
            <w:noProof/>
            <w:webHidden/>
          </w:rPr>
          <w:tab/>
        </w:r>
        <w:r w:rsidR="000F77DF">
          <w:rPr>
            <w:noProof/>
            <w:webHidden/>
          </w:rPr>
          <w:fldChar w:fldCharType="begin"/>
        </w:r>
        <w:r w:rsidR="000F77DF">
          <w:rPr>
            <w:noProof/>
            <w:webHidden/>
          </w:rPr>
          <w:instrText xml:space="preserve"> PAGEREF _Toc56090008 \h </w:instrText>
        </w:r>
        <w:r w:rsidR="000F77DF">
          <w:rPr>
            <w:noProof/>
            <w:webHidden/>
          </w:rPr>
        </w:r>
        <w:r w:rsidR="000F77DF">
          <w:rPr>
            <w:noProof/>
            <w:webHidden/>
          </w:rPr>
          <w:fldChar w:fldCharType="separate"/>
        </w:r>
        <w:r w:rsidR="00B548D2">
          <w:rPr>
            <w:noProof/>
            <w:webHidden/>
          </w:rPr>
          <w:t>23</w:t>
        </w:r>
        <w:r w:rsidR="000F77DF">
          <w:rPr>
            <w:noProof/>
            <w:webHidden/>
          </w:rPr>
          <w:fldChar w:fldCharType="end"/>
        </w:r>
      </w:hyperlink>
    </w:p>
    <w:p w14:paraId="381A333D" w14:textId="18C527A2" w:rsidR="000F77DF" w:rsidRDefault="006574B6">
      <w:pPr>
        <w:pStyle w:val="TOC3"/>
        <w:rPr>
          <w:rFonts w:eastAsiaTheme="minorEastAsia" w:cstheme="minorBidi"/>
          <w:i w:val="0"/>
          <w:iCs w:val="0"/>
          <w:noProof/>
          <w:sz w:val="22"/>
          <w:szCs w:val="22"/>
          <w:lang w:eastAsia="en-GB" w:bidi="ar-SA"/>
        </w:rPr>
      </w:pPr>
      <w:hyperlink w:anchor="_Toc56090009" w:history="1">
        <w:r w:rsidR="000F77DF" w:rsidRPr="00D2351A">
          <w:rPr>
            <w:rStyle w:val="Hyperlink"/>
            <w:noProof/>
          </w:rPr>
          <w:t>5.2.1</w:t>
        </w:r>
        <w:r w:rsidR="000F77DF">
          <w:rPr>
            <w:rFonts w:eastAsiaTheme="minorEastAsia" w:cstheme="minorBidi"/>
            <w:i w:val="0"/>
            <w:iCs w:val="0"/>
            <w:noProof/>
            <w:sz w:val="22"/>
            <w:szCs w:val="22"/>
            <w:lang w:eastAsia="en-GB" w:bidi="ar-SA"/>
          </w:rPr>
          <w:tab/>
        </w:r>
        <w:r w:rsidR="000F77DF" w:rsidRPr="00D2351A">
          <w:rPr>
            <w:rStyle w:val="Hyperlink"/>
            <w:noProof/>
          </w:rPr>
          <w:t>Erucic acid</w:t>
        </w:r>
        <w:r w:rsidR="000F77DF">
          <w:rPr>
            <w:noProof/>
            <w:webHidden/>
          </w:rPr>
          <w:tab/>
        </w:r>
        <w:r w:rsidR="000F77DF">
          <w:rPr>
            <w:noProof/>
            <w:webHidden/>
          </w:rPr>
          <w:fldChar w:fldCharType="begin"/>
        </w:r>
        <w:r w:rsidR="000F77DF">
          <w:rPr>
            <w:noProof/>
            <w:webHidden/>
          </w:rPr>
          <w:instrText xml:space="preserve"> PAGEREF _Toc56090009 \h </w:instrText>
        </w:r>
        <w:r w:rsidR="000F77DF">
          <w:rPr>
            <w:noProof/>
            <w:webHidden/>
          </w:rPr>
        </w:r>
        <w:r w:rsidR="000F77DF">
          <w:rPr>
            <w:noProof/>
            <w:webHidden/>
          </w:rPr>
          <w:fldChar w:fldCharType="separate"/>
        </w:r>
        <w:r w:rsidR="00B548D2">
          <w:rPr>
            <w:noProof/>
            <w:webHidden/>
          </w:rPr>
          <w:t>23</w:t>
        </w:r>
        <w:r w:rsidR="000F77DF">
          <w:rPr>
            <w:noProof/>
            <w:webHidden/>
          </w:rPr>
          <w:fldChar w:fldCharType="end"/>
        </w:r>
      </w:hyperlink>
    </w:p>
    <w:p w14:paraId="602C812D" w14:textId="0E3AD931" w:rsidR="000F77DF" w:rsidRDefault="006574B6">
      <w:pPr>
        <w:pStyle w:val="TOC3"/>
        <w:rPr>
          <w:rFonts w:eastAsiaTheme="minorEastAsia" w:cstheme="minorBidi"/>
          <w:i w:val="0"/>
          <w:iCs w:val="0"/>
          <w:noProof/>
          <w:sz w:val="22"/>
          <w:szCs w:val="22"/>
          <w:lang w:eastAsia="en-GB" w:bidi="ar-SA"/>
        </w:rPr>
      </w:pPr>
      <w:hyperlink w:anchor="_Toc56090010" w:history="1">
        <w:r w:rsidR="000F77DF" w:rsidRPr="00D2351A">
          <w:rPr>
            <w:rStyle w:val="Hyperlink"/>
            <w:noProof/>
          </w:rPr>
          <w:t>5.2.2</w:t>
        </w:r>
        <w:r w:rsidR="000F77DF">
          <w:rPr>
            <w:rFonts w:eastAsiaTheme="minorEastAsia" w:cstheme="minorBidi"/>
            <w:i w:val="0"/>
            <w:iCs w:val="0"/>
            <w:noProof/>
            <w:sz w:val="22"/>
            <w:szCs w:val="22"/>
            <w:lang w:eastAsia="en-GB" w:bidi="ar-SA"/>
          </w:rPr>
          <w:tab/>
        </w:r>
        <w:r w:rsidR="000F77DF" w:rsidRPr="00D2351A">
          <w:rPr>
            <w:rStyle w:val="Hyperlink"/>
            <w:noProof/>
          </w:rPr>
          <w:t>Glucosinolates</w:t>
        </w:r>
        <w:r w:rsidR="000F77DF">
          <w:rPr>
            <w:noProof/>
            <w:webHidden/>
          </w:rPr>
          <w:tab/>
        </w:r>
        <w:r w:rsidR="000F77DF">
          <w:rPr>
            <w:noProof/>
            <w:webHidden/>
          </w:rPr>
          <w:fldChar w:fldCharType="begin"/>
        </w:r>
        <w:r w:rsidR="000F77DF">
          <w:rPr>
            <w:noProof/>
            <w:webHidden/>
          </w:rPr>
          <w:instrText xml:space="preserve"> PAGEREF _Toc56090010 \h </w:instrText>
        </w:r>
        <w:r w:rsidR="000F77DF">
          <w:rPr>
            <w:noProof/>
            <w:webHidden/>
          </w:rPr>
        </w:r>
        <w:r w:rsidR="000F77DF">
          <w:rPr>
            <w:noProof/>
            <w:webHidden/>
          </w:rPr>
          <w:fldChar w:fldCharType="separate"/>
        </w:r>
        <w:r w:rsidR="00B548D2">
          <w:rPr>
            <w:noProof/>
            <w:webHidden/>
          </w:rPr>
          <w:t>24</w:t>
        </w:r>
        <w:r w:rsidR="000F77DF">
          <w:rPr>
            <w:noProof/>
            <w:webHidden/>
          </w:rPr>
          <w:fldChar w:fldCharType="end"/>
        </w:r>
      </w:hyperlink>
    </w:p>
    <w:p w14:paraId="26648945" w14:textId="7059963D" w:rsidR="000F77DF" w:rsidRDefault="006574B6">
      <w:pPr>
        <w:pStyle w:val="TOC3"/>
        <w:rPr>
          <w:rFonts w:eastAsiaTheme="minorEastAsia" w:cstheme="minorBidi"/>
          <w:i w:val="0"/>
          <w:iCs w:val="0"/>
          <w:noProof/>
          <w:sz w:val="22"/>
          <w:szCs w:val="22"/>
          <w:lang w:eastAsia="en-GB" w:bidi="ar-SA"/>
        </w:rPr>
      </w:pPr>
      <w:hyperlink w:anchor="_Toc56090011" w:history="1">
        <w:r w:rsidR="000F77DF" w:rsidRPr="00D2351A">
          <w:rPr>
            <w:rStyle w:val="Hyperlink"/>
            <w:noProof/>
          </w:rPr>
          <w:t>5.2.3</w:t>
        </w:r>
        <w:r w:rsidR="000F77DF">
          <w:rPr>
            <w:rFonts w:eastAsiaTheme="minorEastAsia" w:cstheme="minorBidi"/>
            <w:i w:val="0"/>
            <w:iCs w:val="0"/>
            <w:noProof/>
            <w:sz w:val="22"/>
            <w:szCs w:val="22"/>
            <w:lang w:eastAsia="en-GB" w:bidi="ar-SA"/>
          </w:rPr>
          <w:tab/>
        </w:r>
        <w:r w:rsidR="000F77DF" w:rsidRPr="00D2351A">
          <w:rPr>
            <w:rStyle w:val="Hyperlink"/>
            <w:noProof/>
          </w:rPr>
          <w:t>Allergenicity</w:t>
        </w:r>
        <w:r w:rsidR="000F77DF">
          <w:rPr>
            <w:noProof/>
            <w:webHidden/>
          </w:rPr>
          <w:tab/>
        </w:r>
        <w:r w:rsidR="000F77DF">
          <w:rPr>
            <w:noProof/>
            <w:webHidden/>
          </w:rPr>
          <w:fldChar w:fldCharType="begin"/>
        </w:r>
        <w:r w:rsidR="000F77DF">
          <w:rPr>
            <w:noProof/>
            <w:webHidden/>
          </w:rPr>
          <w:instrText xml:space="preserve"> PAGEREF _Toc56090011 \h </w:instrText>
        </w:r>
        <w:r w:rsidR="000F77DF">
          <w:rPr>
            <w:noProof/>
            <w:webHidden/>
          </w:rPr>
        </w:r>
        <w:r w:rsidR="000F77DF">
          <w:rPr>
            <w:noProof/>
            <w:webHidden/>
          </w:rPr>
          <w:fldChar w:fldCharType="separate"/>
        </w:r>
        <w:r w:rsidR="00B548D2">
          <w:rPr>
            <w:noProof/>
            <w:webHidden/>
          </w:rPr>
          <w:t>24</w:t>
        </w:r>
        <w:r w:rsidR="000F77DF">
          <w:rPr>
            <w:noProof/>
            <w:webHidden/>
          </w:rPr>
          <w:fldChar w:fldCharType="end"/>
        </w:r>
      </w:hyperlink>
    </w:p>
    <w:p w14:paraId="79F2E172" w14:textId="7D764AC5" w:rsidR="000F77DF" w:rsidRDefault="006574B6">
      <w:pPr>
        <w:pStyle w:val="TOC3"/>
        <w:rPr>
          <w:rFonts w:eastAsiaTheme="minorEastAsia" w:cstheme="minorBidi"/>
          <w:i w:val="0"/>
          <w:iCs w:val="0"/>
          <w:noProof/>
          <w:sz w:val="22"/>
          <w:szCs w:val="22"/>
          <w:lang w:eastAsia="en-GB" w:bidi="ar-SA"/>
        </w:rPr>
      </w:pPr>
      <w:hyperlink w:anchor="_Toc56090012" w:history="1">
        <w:r w:rsidR="000F77DF" w:rsidRPr="00D2351A">
          <w:rPr>
            <w:rStyle w:val="Hyperlink"/>
            <w:noProof/>
          </w:rPr>
          <w:t>5.2.4</w:t>
        </w:r>
        <w:r w:rsidR="000F77DF">
          <w:rPr>
            <w:rFonts w:eastAsiaTheme="minorEastAsia" w:cstheme="minorBidi"/>
            <w:i w:val="0"/>
            <w:iCs w:val="0"/>
            <w:noProof/>
            <w:sz w:val="22"/>
            <w:szCs w:val="22"/>
            <w:lang w:eastAsia="en-GB" w:bidi="ar-SA"/>
          </w:rPr>
          <w:tab/>
        </w:r>
        <w:r w:rsidR="000F77DF" w:rsidRPr="00D2351A">
          <w:rPr>
            <w:rStyle w:val="Hyperlink"/>
            <w:noProof/>
          </w:rPr>
          <w:t>Contaminants</w:t>
        </w:r>
        <w:r w:rsidR="000F77DF">
          <w:rPr>
            <w:noProof/>
            <w:webHidden/>
          </w:rPr>
          <w:tab/>
        </w:r>
        <w:r w:rsidR="000F77DF">
          <w:rPr>
            <w:noProof/>
            <w:webHidden/>
          </w:rPr>
          <w:fldChar w:fldCharType="begin"/>
        </w:r>
        <w:r w:rsidR="000F77DF">
          <w:rPr>
            <w:noProof/>
            <w:webHidden/>
          </w:rPr>
          <w:instrText xml:space="preserve"> PAGEREF _Toc56090012 \h </w:instrText>
        </w:r>
        <w:r w:rsidR="000F77DF">
          <w:rPr>
            <w:noProof/>
            <w:webHidden/>
          </w:rPr>
        </w:r>
        <w:r w:rsidR="000F77DF">
          <w:rPr>
            <w:noProof/>
            <w:webHidden/>
          </w:rPr>
          <w:fldChar w:fldCharType="separate"/>
        </w:r>
        <w:r w:rsidR="00B548D2">
          <w:rPr>
            <w:noProof/>
            <w:webHidden/>
          </w:rPr>
          <w:t>28</w:t>
        </w:r>
        <w:r w:rsidR="000F77DF">
          <w:rPr>
            <w:noProof/>
            <w:webHidden/>
          </w:rPr>
          <w:fldChar w:fldCharType="end"/>
        </w:r>
      </w:hyperlink>
    </w:p>
    <w:p w14:paraId="75BFDA42" w14:textId="558F25BB" w:rsidR="000F77DF" w:rsidRDefault="006574B6">
      <w:pPr>
        <w:pStyle w:val="TOC2"/>
        <w:rPr>
          <w:rFonts w:eastAsiaTheme="minorEastAsia" w:cstheme="minorBidi"/>
          <w:smallCaps w:val="0"/>
          <w:noProof/>
          <w:sz w:val="22"/>
          <w:szCs w:val="22"/>
          <w:lang w:eastAsia="en-GB" w:bidi="ar-SA"/>
        </w:rPr>
      </w:pPr>
      <w:hyperlink w:anchor="_Toc56090013" w:history="1">
        <w:r w:rsidR="000F77DF" w:rsidRPr="00D2351A">
          <w:rPr>
            <w:rStyle w:val="Hyperlink"/>
            <w:noProof/>
          </w:rPr>
          <w:t>5.3</w:t>
        </w:r>
        <w:r w:rsidR="000F77DF">
          <w:rPr>
            <w:rFonts w:eastAsiaTheme="minorEastAsia" w:cstheme="minorBidi"/>
            <w:smallCaps w:val="0"/>
            <w:noProof/>
            <w:sz w:val="22"/>
            <w:szCs w:val="22"/>
            <w:lang w:eastAsia="en-GB" w:bidi="ar-SA"/>
          </w:rPr>
          <w:tab/>
        </w:r>
        <w:r w:rsidR="000F77DF" w:rsidRPr="00D2351A">
          <w:rPr>
            <w:rStyle w:val="Hyperlink"/>
            <w:noProof/>
          </w:rPr>
          <w:t>Assessments by other agencies</w:t>
        </w:r>
        <w:r w:rsidR="000F77DF">
          <w:rPr>
            <w:noProof/>
            <w:webHidden/>
          </w:rPr>
          <w:tab/>
        </w:r>
        <w:r w:rsidR="000F77DF">
          <w:rPr>
            <w:noProof/>
            <w:webHidden/>
          </w:rPr>
          <w:fldChar w:fldCharType="begin"/>
        </w:r>
        <w:r w:rsidR="000F77DF">
          <w:rPr>
            <w:noProof/>
            <w:webHidden/>
          </w:rPr>
          <w:instrText xml:space="preserve"> PAGEREF _Toc56090013 \h </w:instrText>
        </w:r>
        <w:r w:rsidR="000F77DF">
          <w:rPr>
            <w:noProof/>
            <w:webHidden/>
          </w:rPr>
        </w:r>
        <w:r w:rsidR="000F77DF">
          <w:rPr>
            <w:noProof/>
            <w:webHidden/>
          </w:rPr>
          <w:fldChar w:fldCharType="separate"/>
        </w:r>
        <w:r w:rsidR="00B548D2">
          <w:rPr>
            <w:noProof/>
            <w:webHidden/>
          </w:rPr>
          <w:t>29</w:t>
        </w:r>
        <w:r w:rsidR="000F77DF">
          <w:rPr>
            <w:noProof/>
            <w:webHidden/>
          </w:rPr>
          <w:fldChar w:fldCharType="end"/>
        </w:r>
      </w:hyperlink>
    </w:p>
    <w:p w14:paraId="5C24FBF4" w14:textId="002EB4FA" w:rsidR="000F77DF" w:rsidRDefault="006574B6">
      <w:pPr>
        <w:pStyle w:val="TOC2"/>
        <w:rPr>
          <w:rFonts w:eastAsiaTheme="minorEastAsia" w:cstheme="minorBidi"/>
          <w:smallCaps w:val="0"/>
          <w:noProof/>
          <w:sz w:val="22"/>
          <w:szCs w:val="22"/>
          <w:lang w:eastAsia="en-GB" w:bidi="ar-SA"/>
        </w:rPr>
      </w:pPr>
      <w:hyperlink w:anchor="_Toc56090014" w:history="1">
        <w:r w:rsidR="000F77DF" w:rsidRPr="00D2351A">
          <w:rPr>
            <w:rStyle w:val="Hyperlink"/>
            <w:noProof/>
          </w:rPr>
          <w:t>5.4</w:t>
        </w:r>
        <w:r w:rsidR="000F77DF">
          <w:rPr>
            <w:rFonts w:eastAsiaTheme="minorEastAsia" w:cstheme="minorBidi"/>
            <w:smallCaps w:val="0"/>
            <w:noProof/>
            <w:sz w:val="22"/>
            <w:szCs w:val="22"/>
            <w:lang w:eastAsia="en-GB" w:bidi="ar-SA"/>
          </w:rPr>
          <w:tab/>
        </w:r>
        <w:r w:rsidR="000F77DF" w:rsidRPr="00D2351A">
          <w:rPr>
            <w:rStyle w:val="Hyperlink"/>
            <w:noProof/>
          </w:rPr>
          <w:t>Toxicological Assessment conclusions</w:t>
        </w:r>
        <w:r w:rsidR="000F77DF">
          <w:rPr>
            <w:noProof/>
            <w:webHidden/>
          </w:rPr>
          <w:tab/>
        </w:r>
        <w:r w:rsidR="000F77DF">
          <w:rPr>
            <w:noProof/>
            <w:webHidden/>
          </w:rPr>
          <w:fldChar w:fldCharType="begin"/>
        </w:r>
        <w:r w:rsidR="000F77DF">
          <w:rPr>
            <w:noProof/>
            <w:webHidden/>
          </w:rPr>
          <w:instrText xml:space="preserve"> PAGEREF _Toc56090014 \h </w:instrText>
        </w:r>
        <w:r w:rsidR="000F77DF">
          <w:rPr>
            <w:noProof/>
            <w:webHidden/>
          </w:rPr>
        </w:r>
        <w:r w:rsidR="000F77DF">
          <w:rPr>
            <w:noProof/>
            <w:webHidden/>
          </w:rPr>
          <w:fldChar w:fldCharType="separate"/>
        </w:r>
        <w:r w:rsidR="00B548D2">
          <w:rPr>
            <w:noProof/>
            <w:webHidden/>
          </w:rPr>
          <w:t>30</w:t>
        </w:r>
        <w:r w:rsidR="000F77DF">
          <w:rPr>
            <w:noProof/>
            <w:webHidden/>
          </w:rPr>
          <w:fldChar w:fldCharType="end"/>
        </w:r>
      </w:hyperlink>
    </w:p>
    <w:p w14:paraId="11E2A1BA" w14:textId="5AC383C8"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90015" w:history="1">
        <w:r w:rsidR="000F77DF" w:rsidRPr="00D2351A">
          <w:rPr>
            <w:rStyle w:val="Hyperlink"/>
            <w:noProof/>
          </w:rPr>
          <w:t>6.</w:t>
        </w:r>
        <w:r w:rsidR="000F77DF">
          <w:rPr>
            <w:rFonts w:eastAsiaTheme="minorEastAsia" w:cstheme="minorBidi"/>
            <w:b w:val="0"/>
            <w:bCs w:val="0"/>
            <w:caps w:val="0"/>
            <w:noProof/>
            <w:sz w:val="22"/>
            <w:szCs w:val="22"/>
            <w:lang w:eastAsia="en-GB" w:bidi="ar-SA"/>
          </w:rPr>
          <w:tab/>
        </w:r>
        <w:r w:rsidR="000F77DF" w:rsidRPr="00D2351A">
          <w:rPr>
            <w:rStyle w:val="Hyperlink"/>
            <w:noProof/>
          </w:rPr>
          <w:t>Dietary exposure assessment</w:t>
        </w:r>
        <w:r w:rsidR="000F77DF">
          <w:rPr>
            <w:noProof/>
            <w:webHidden/>
          </w:rPr>
          <w:tab/>
        </w:r>
        <w:r w:rsidR="000F77DF">
          <w:rPr>
            <w:noProof/>
            <w:webHidden/>
          </w:rPr>
          <w:fldChar w:fldCharType="begin"/>
        </w:r>
        <w:r w:rsidR="000F77DF">
          <w:rPr>
            <w:noProof/>
            <w:webHidden/>
          </w:rPr>
          <w:instrText xml:space="preserve"> PAGEREF _Toc56090015 \h </w:instrText>
        </w:r>
        <w:r w:rsidR="000F77DF">
          <w:rPr>
            <w:noProof/>
            <w:webHidden/>
          </w:rPr>
        </w:r>
        <w:r w:rsidR="000F77DF">
          <w:rPr>
            <w:noProof/>
            <w:webHidden/>
          </w:rPr>
          <w:fldChar w:fldCharType="separate"/>
        </w:r>
        <w:r w:rsidR="00B548D2">
          <w:rPr>
            <w:noProof/>
            <w:webHidden/>
          </w:rPr>
          <w:t>30</w:t>
        </w:r>
        <w:r w:rsidR="000F77DF">
          <w:rPr>
            <w:noProof/>
            <w:webHidden/>
          </w:rPr>
          <w:fldChar w:fldCharType="end"/>
        </w:r>
      </w:hyperlink>
    </w:p>
    <w:p w14:paraId="3E630721" w14:textId="2DD67604" w:rsidR="000F77DF" w:rsidRDefault="006574B6">
      <w:pPr>
        <w:pStyle w:val="TOC2"/>
        <w:rPr>
          <w:rFonts w:eastAsiaTheme="minorEastAsia" w:cstheme="minorBidi"/>
          <w:smallCaps w:val="0"/>
          <w:noProof/>
          <w:sz w:val="22"/>
          <w:szCs w:val="22"/>
          <w:lang w:eastAsia="en-GB" w:bidi="ar-SA"/>
        </w:rPr>
      </w:pPr>
      <w:hyperlink w:anchor="_Toc56090016" w:history="1">
        <w:r w:rsidR="000F77DF" w:rsidRPr="00D2351A">
          <w:rPr>
            <w:rStyle w:val="Hyperlink"/>
            <w:noProof/>
          </w:rPr>
          <w:t>6.1</w:t>
        </w:r>
        <w:r w:rsidR="000F77DF">
          <w:rPr>
            <w:rFonts w:eastAsiaTheme="minorEastAsia" w:cstheme="minorBidi"/>
            <w:smallCaps w:val="0"/>
            <w:noProof/>
            <w:sz w:val="22"/>
            <w:szCs w:val="22"/>
            <w:lang w:eastAsia="en-GB" w:bidi="ar-SA"/>
          </w:rPr>
          <w:tab/>
        </w:r>
        <w:r w:rsidR="000F77DF" w:rsidRPr="00D2351A">
          <w:rPr>
            <w:rStyle w:val="Hyperlink"/>
            <w:noProof/>
          </w:rPr>
          <w:t>Objectives for the dietary exposure assessment</w:t>
        </w:r>
        <w:r w:rsidR="000F77DF">
          <w:rPr>
            <w:noProof/>
            <w:webHidden/>
          </w:rPr>
          <w:tab/>
        </w:r>
        <w:r w:rsidR="000F77DF">
          <w:rPr>
            <w:noProof/>
            <w:webHidden/>
          </w:rPr>
          <w:fldChar w:fldCharType="begin"/>
        </w:r>
        <w:r w:rsidR="000F77DF">
          <w:rPr>
            <w:noProof/>
            <w:webHidden/>
          </w:rPr>
          <w:instrText xml:space="preserve"> PAGEREF _Toc56090016 \h </w:instrText>
        </w:r>
        <w:r w:rsidR="000F77DF">
          <w:rPr>
            <w:noProof/>
            <w:webHidden/>
          </w:rPr>
        </w:r>
        <w:r w:rsidR="000F77DF">
          <w:rPr>
            <w:noProof/>
            <w:webHidden/>
          </w:rPr>
          <w:fldChar w:fldCharType="separate"/>
        </w:r>
        <w:r w:rsidR="00B548D2">
          <w:rPr>
            <w:noProof/>
            <w:webHidden/>
          </w:rPr>
          <w:t>30</w:t>
        </w:r>
        <w:r w:rsidR="000F77DF">
          <w:rPr>
            <w:noProof/>
            <w:webHidden/>
          </w:rPr>
          <w:fldChar w:fldCharType="end"/>
        </w:r>
      </w:hyperlink>
    </w:p>
    <w:p w14:paraId="78155D6B" w14:textId="48BBD0DE" w:rsidR="000F77DF" w:rsidRDefault="006574B6">
      <w:pPr>
        <w:pStyle w:val="TOC2"/>
        <w:rPr>
          <w:rFonts w:eastAsiaTheme="minorEastAsia" w:cstheme="minorBidi"/>
          <w:smallCaps w:val="0"/>
          <w:noProof/>
          <w:sz w:val="22"/>
          <w:szCs w:val="22"/>
          <w:lang w:eastAsia="en-GB" w:bidi="ar-SA"/>
        </w:rPr>
      </w:pPr>
      <w:hyperlink w:anchor="_Toc56090017" w:history="1">
        <w:r w:rsidR="000F77DF" w:rsidRPr="00D2351A">
          <w:rPr>
            <w:rStyle w:val="Hyperlink"/>
            <w:noProof/>
          </w:rPr>
          <w:t>6.2</w:t>
        </w:r>
        <w:r w:rsidR="000F77DF">
          <w:rPr>
            <w:rFonts w:eastAsiaTheme="minorEastAsia" w:cstheme="minorBidi"/>
            <w:smallCaps w:val="0"/>
            <w:noProof/>
            <w:sz w:val="22"/>
            <w:szCs w:val="22"/>
            <w:lang w:eastAsia="en-GB" w:bidi="ar-SA"/>
          </w:rPr>
          <w:tab/>
        </w:r>
        <w:r w:rsidR="000F77DF" w:rsidRPr="00D2351A">
          <w:rPr>
            <w:rStyle w:val="Hyperlink"/>
            <w:noProof/>
          </w:rPr>
          <w:t>Methodology and approach for the dietary exposure assessment</w:t>
        </w:r>
        <w:r w:rsidR="000F77DF">
          <w:rPr>
            <w:noProof/>
            <w:webHidden/>
          </w:rPr>
          <w:tab/>
        </w:r>
        <w:r w:rsidR="000F77DF">
          <w:rPr>
            <w:noProof/>
            <w:webHidden/>
          </w:rPr>
          <w:fldChar w:fldCharType="begin"/>
        </w:r>
        <w:r w:rsidR="000F77DF">
          <w:rPr>
            <w:noProof/>
            <w:webHidden/>
          </w:rPr>
          <w:instrText xml:space="preserve"> PAGEREF _Toc56090017 \h </w:instrText>
        </w:r>
        <w:r w:rsidR="000F77DF">
          <w:rPr>
            <w:noProof/>
            <w:webHidden/>
          </w:rPr>
        </w:r>
        <w:r w:rsidR="000F77DF">
          <w:rPr>
            <w:noProof/>
            <w:webHidden/>
          </w:rPr>
          <w:fldChar w:fldCharType="separate"/>
        </w:r>
        <w:r w:rsidR="00B548D2">
          <w:rPr>
            <w:noProof/>
            <w:webHidden/>
          </w:rPr>
          <w:t>31</w:t>
        </w:r>
        <w:r w:rsidR="000F77DF">
          <w:rPr>
            <w:noProof/>
            <w:webHidden/>
          </w:rPr>
          <w:fldChar w:fldCharType="end"/>
        </w:r>
      </w:hyperlink>
    </w:p>
    <w:p w14:paraId="66ADC94E" w14:textId="4999A937" w:rsidR="000F77DF" w:rsidRDefault="006574B6">
      <w:pPr>
        <w:pStyle w:val="TOC3"/>
        <w:rPr>
          <w:rFonts w:eastAsiaTheme="minorEastAsia" w:cstheme="minorBidi"/>
          <w:i w:val="0"/>
          <w:iCs w:val="0"/>
          <w:noProof/>
          <w:sz w:val="22"/>
          <w:szCs w:val="22"/>
          <w:lang w:eastAsia="en-GB" w:bidi="ar-SA"/>
        </w:rPr>
      </w:pPr>
      <w:hyperlink w:anchor="_Toc56090018" w:history="1">
        <w:r w:rsidR="000F77DF" w:rsidRPr="00D2351A">
          <w:rPr>
            <w:rStyle w:val="Hyperlink"/>
            <w:noProof/>
          </w:rPr>
          <w:t>6.2.1</w:t>
        </w:r>
        <w:r w:rsidR="000F77DF">
          <w:rPr>
            <w:rFonts w:eastAsiaTheme="minorEastAsia" w:cstheme="minorBidi"/>
            <w:i w:val="0"/>
            <w:iCs w:val="0"/>
            <w:noProof/>
            <w:sz w:val="22"/>
            <w:szCs w:val="22"/>
            <w:lang w:eastAsia="en-GB" w:bidi="ar-SA"/>
          </w:rPr>
          <w:tab/>
        </w:r>
        <w:r w:rsidR="000F77DF" w:rsidRPr="00D2351A">
          <w:rPr>
            <w:rStyle w:val="Hyperlink"/>
            <w:noProof/>
          </w:rPr>
          <w:t>Approach for the dietary exposure assessment</w:t>
        </w:r>
        <w:r w:rsidR="000F77DF">
          <w:rPr>
            <w:noProof/>
            <w:webHidden/>
          </w:rPr>
          <w:tab/>
        </w:r>
        <w:r w:rsidR="000F77DF">
          <w:rPr>
            <w:noProof/>
            <w:webHidden/>
          </w:rPr>
          <w:fldChar w:fldCharType="begin"/>
        </w:r>
        <w:r w:rsidR="000F77DF">
          <w:rPr>
            <w:noProof/>
            <w:webHidden/>
          </w:rPr>
          <w:instrText xml:space="preserve"> PAGEREF _Toc56090018 \h </w:instrText>
        </w:r>
        <w:r w:rsidR="000F77DF">
          <w:rPr>
            <w:noProof/>
            <w:webHidden/>
          </w:rPr>
        </w:r>
        <w:r w:rsidR="000F77DF">
          <w:rPr>
            <w:noProof/>
            <w:webHidden/>
          </w:rPr>
          <w:fldChar w:fldCharType="separate"/>
        </w:r>
        <w:r w:rsidR="00B548D2">
          <w:rPr>
            <w:noProof/>
            <w:webHidden/>
          </w:rPr>
          <w:t>31</w:t>
        </w:r>
        <w:r w:rsidR="000F77DF">
          <w:rPr>
            <w:noProof/>
            <w:webHidden/>
          </w:rPr>
          <w:fldChar w:fldCharType="end"/>
        </w:r>
      </w:hyperlink>
    </w:p>
    <w:p w14:paraId="3410A3DB" w14:textId="688FF498" w:rsidR="000F77DF" w:rsidRDefault="006574B6">
      <w:pPr>
        <w:pStyle w:val="TOC3"/>
        <w:rPr>
          <w:rFonts w:eastAsiaTheme="minorEastAsia" w:cstheme="minorBidi"/>
          <w:i w:val="0"/>
          <w:iCs w:val="0"/>
          <w:noProof/>
          <w:sz w:val="22"/>
          <w:szCs w:val="22"/>
          <w:lang w:eastAsia="en-GB" w:bidi="ar-SA"/>
        </w:rPr>
      </w:pPr>
      <w:hyperlink w:anchor="_Toc56090019" w:history="1">
        <w:r w:rsidR="000F77DF" w:rsidRPr="00D2351A">
          <w:rPr>
            <w:rStyle w:val="Hyperlink"/>
            <w:noProof/>
          </w:rPr>
          <w:t>6.2.2</w:t>
        </w:r>
        <w:r w:rsidR="000F77DF">
          <w:rPr>
            <w:rFonts w:eastAsiaTheme="minorEastAsia" w:cstheme="minorBidi"/>
            <w:i w:val="0"/>
            <w:iCs w:val="0"/>
            <w:noProof/>
            <w:sz w:val="22"/>
            <w:szCs w:val="22"/>
            <w:lang w:eastAsia="en-GB" w:bidi="ar-SA"/>
          </w:rPr>
          <w:tab/>
        </w:r>
        <w:r w:rsidR="000F77DF" w:rsidRPr="00D2351A">
          <w:rPr>
            <w:rStyle w:val="Hyperlink"/>
            <w:noProof/>
          </w:rPr>
          <w:t>Estimating dietary exposure to rapeseed protein isolate</w:t>
        </w:r>
        <w:r w:rsidR="000F77DF">
          <w:rPr>
            <w:noProof/>
            <w:webHidden/>
          </w:rPr>
          <w:tab/>
        </w:r>
        <w:r w:rsidR="000F77DF">
          <w:rPr>
            <w:noProof/>
            <w:webHidden/>
          </w:rPr>
          <w:fldChar w:fldCharType="begin"/>
        </w:r>
        <w:r w:rsidR="000F77DF">
          <w:rPr>
            <w:noProof/>
            <w:webHidden/>
          </w:rPr>
          <w:instrText xml:space="preserve"> PAGEREF _Toc56090019 \h </w:instrText>
        </w:r>
        <w:r w:rsidR="000F77DF">
          <w:rPr>
            <w:noProof/>
            <w:webHidden/>
          </w:rPr>
        </w:r>
        <w:r w:rsidR="000F77DF">
          <w:rPr>
            <w:noProof/>
            <w:webHidden/>
          </w:rPr>
          <w:fldChar w:fldCharType="separate"/>
        </w:r>
        <w:r w:rsidR="00B548D2">
          <w:rPr>
            <w:noProof/>
            <w:webHidden/>
          </w:rPr>
          <w:t>31</w:t>
        </w:r>
        <w:r w:rsidR="000F77DF">
          <w:rPr>
            <w:noProof/>
            <w:webHidden/>
          </w:rPr>
          <w:fldChar w:fldCharType="end"/>
        </w:r>
      </w:hyperlink>
    </w:p>
    <w:p w14:paraId="7D6ADF52" w14:textId="2EA39004" w:rsidR="000F77DF" w:rsidRDefault="006574B6">
      <w:pPr>
        <w:pStyle w:val="TOC3"/>
        <w:rPr>
          <w:rFonts w:eastAsiaTheme="minorEastAsia" w:cstheme="minorBidi"/>
          <w:i w:val="0"/>
          <w:iCs w:val="0"/>
          <w:noProof/>
          <w:sz w:val="22"/>
          <w:szCs w:val="22"/>
          <w:lang w:eastAsia="en-GB" w:bidi="ar-SA"/>
        </w:rPr>
      </w:pPr>
      <w:hyperlink w:anchor="_Toc56090020" w:history="1">
        <w:r w:rsidR="000F77DF" w:rsidRPr="00D2351A">
          <w:rPr>
            <w:rStyle w:val="Hyperlink"/>
            <w:noProof/>
          </w:rPr>
          <w:t>6.2.3</w:t>
        </w:r>
        <w:r w:rsidR="000F77DF">
          <w:rPr>
            <w:rFonts w:eastAsiaTheme="minorEastAsia" w:cstheme="minorBidi"/>
            <w:i w:val="0"/>
            <w:iCs w:val="0"/>
            <w:noProof/>
            <w:sz w:val="22"/>
            <w:szCs w:val="22"/>
            <w:lang w:eastAsia="en-GB" w:bidi="ar-SA"/>
          </w:rPr>
          <w:tab/>
        </w:r>
        <w:r w:rsidR="000F77DF" w:rsidRPr="00D2351A">
          <w:rPr>
            <w:rStyle w:val="Hyperlink"/>
            <w:noProof/>
          </w:rPr>
          <w:t>Estimated dietary exposures to erucic acid and glucosinolates</w:t>
        </w:r>
        <w:r w:rsidR="000F77DF">
          <w:rPr>
            <w:noProof/>
            <w:webHidden/>
          </w:rPr>
          <w:tab/>
        </w:r>
        <w:r w:rsidR="000F77DF">
          <w:rPr>
            <w:noProof/>
            <w:webHidden/>
          </w:rPr>
          <w:fldChar w:fldCharType="begin"/>
        </w:r>
        <w:r w:rsidR="000F77DF">
          <w:rPr>
            <w:noProof/>
            <w:webHidden/>
          </w:rPr>
          <w:instrText xml:space="preserve"> PAGEREF _Toc56090020 \h </w:instrText>
        </w:r>
        <w:r w:rsidR="000F77DF">
          <w:rPr>
            <w:noProof/>
            <w:webHidden/>
          </w:rPr>
        </w:r>
        <w:r w:rsidR="000F77DF">
          <w:rPr>
            <w:noProof/>
            <w:webHidden/>
          </w:rPr>
          <w:fldChar w:fldCharType="separate"/>
        </w:r>
        <w:r w:rsidR="00B548D2">
          <w:rPr>
            <w:noProof/>
            <w:webHidden/>
          </w:rPr>
          <w:t>31</w:t>
        </w:r>
        <w:r w:rsidR="000F77DF">
          <w:rPr>
            <w:noProof/>
            <w:webHidden/>
          </w:rPr>
          <w:fldChar w:fldCharType="end"/>
        </w:r>
      </w:hyperlink>
    </w:p>
    <w:p w14:paraId="08065A08" w14:textId="3D83E906" w:rsidR="000F77DF" w:rsidRDefault="006574B6">
      <w:pPr>
        <w:pStyle w:val="TOC3"/>
        <w:rPr>
          <w:rFonts w:eastAsiaTheme="minorEastAsia" w:cstheme="minorBidi"/>
          <w:i w:val="0"/>
          <w:iCs w:val="0"/>
          <w:noProof/>
          <w:sz w:val="22"/>
          <w:szCs w:val="22"/>
          <w:lang w:eastAsia="en-GB" w:bidi="ar-SA"/>
        </w:rPr>
      </w:pPr>
      <w:hyperlink w:anchor="_Toc56090021" w:history="1">
        <w:r w:rsidR="000F77DF" w:rsidRPr="00D2351A">
          <w:rPr>
            <w:rStyle w:val="Hyperlink"/>
            <w:noProof/>
          </w:rPr>
          <w:t>6.2.4</w:t>
        </w:r>
        <w:r w:rsidR="000F77DF">
          <w:rPr>
            <w:rFonts w:eastAsiaTheme="minorEastAsia" w:cstheme="minorBidi"/>
            <w:i w:val="0"/>
            <w:iCs w:val="0"/>
            <w:noProof/>
            <w:sz w:val="22"/>
            <w:szCs w:val="22"/>
            <w:lang w:eastAsia="en-GB" w:bidi="ar-SA"/>
          </w:rPr>
          <w:tab/>
        </w:r>
        <w:r w:rsidR="000F77DF" w:rsidRPr="00D2351A">
          <w:rPr>
            <w:rStyle w:val="Hyperlink"/>
            <w:noProof/>
          </w:rPr>
          <w:t>Food consumption data used</w:t>
        </w:r>
        <w:r w:rsidR="000F77DF">
          <w:rPr>
            <w:noProof/>
            <w:webHidden/>
          </w:rPr>
          <w:tab/>
        </w:r>
        <w:r w:rsidR="000F77DF">
          <w:rPr>
            <w:noProof/>
            <w:webHidden/>
          </w:rPr>
          <w:fldChar w:fldCharType="begin"/>
        </w:r>
        <w:r w:rsidR="000F77DF">
          <w:rPr>
            <w:noProof/>
            <w:webHidden/>
          </w:rPr>
          <w:instrText xml:space="preserve"> PAGEREF _Toc56090021 \h </w:instrText>
        </w:r>
        <w:r w:rsidR="000F77DF">
          <w:rPr>
            <w:noProof/>
            <w:webHidden/>
          </w:rPr>
        </w:r>
        <w:r w:rsidR="000F77DF">
          <w:rPr>
            <w:noProof/>
            <w:webHidden/>
          </w:rPr>
          <w:fldChar w:fldCharType="separate"/>
        </w:r>
        <w:r w:rsidR="00B548D2">
          <w:rPr>
            <w:noProof/>
            <w:webHidden/>
          </w:rPr>
          <w:t>32</w:t>
        </w:r>
        <w:r w:rsidR="000F77DF">
          <w:rPr>
            <w:noProof/>
            <w:webHidden/>
          </w:rPr>
          <w:fldChar w:fldCharType="end"/>
        </w:r>
      </w:hyperlink>
    </w:p>
    <w:p w14:paraId="76B8A784" w14:textId="7DA51F32" w:rsidR="000F77DF" w:rsidRDefault="006574B6">
      <w:pPr>
        <w:pStyle w:val="TOC3"/>
        <w:rPr>
          <w:rFonts w:eastAsiaTheme="minorEastAsia" w:cstheme="minorBidi"/>
          <w:i w:val="0"/>
          <w:iCs w:val="0"/>
          <w:noProof/>
          <w:sz w:val="22"/>
          <w:szCs w:val="22"/>
          <w:lang w:eastAsia="en-GB" w:bidi="ar-SA"/>
        </w:rPr>
      </w:pPr>
      <w:hyperlink w:anchor="_Toc56090022" w:history="1">
        <w:r w:rsidR="000F77DF" w:rsidRPr="00D2351A">
          <w:rPr>
            <w:rStyle w:val="Hyperlink"/>
            <w:noProof/>
          </w:rPr>
          <w:t>6.2.5</w:t>
        </w:r>
        <w:r w:rsidR="000F77DF">
          <w:rPr>
            <w:rFonts w:eastAsiaTheme="minorEastAsia" w:cstheme="minorBidi"/>
            <w:i w:val="0"/>
            <w:iCs w:val="0"/>
            <w:noProof/>
            <w:sz w:val="22"/>
            <w:szCs w:val="22"/>
            <w:lang w:eastAsia="en-GB" w:bidi="ar-SA"/>
          </w:rPr>
          <w:tab/>
        </w:r>
        <w:r w:rsidR="000F77DF" w:rsidRPr="00D2351A">
          <w:rPr>
            <w:rStyle w:val="Hyperlink"/>
            <w:noProof/>
          </w:rPr>
          <w:t>Population groups assessed</w:t>
        </w:r>
        <w:r w:rsidR="000F77DF">
          <w:rPr>
            <w:noProof/>
            <w:webHidden/>
          </w:rPr>
          <w:tab/>
        </w:r>
        <w:r w:rsidR="000F77DF">
          <w:rPr>
            <w:noProof/>
            <w:webHidden/>
          </w:rPr>
          <w:fldChar w:fldCharType="begin"/>
        </w:r>
        <w:r w:rsidR="000F77DF">
          <w:rPr>
            <w:noProof/>
            <w:webHidden/>
          </w:rPr>
          <w:instrText xml:space="preserve"> PAGEREF _Toc56090022 \h </w:instrText>
        </w:r>
        <w:r w:rsidR="000F77DF">
          <w:rPr>
            <w:noProof/>
            <w:webHidden/>
          </w:rPr>
        </w:r>
        <w:r w:rsidR="000F77DF">
          <w:rPr>
            <w:noProof/>
            <w:webHidden/>
          </w:rPr>
          <w:fldChar w:fldCharType="separate"/>
        </w:r>
        <w:r w:rsidR="00B548D2">
          <w:rPr>
            <w:noProof/>
            <w:webHidden/>
          </w:rPr>
          <w:t>32</w:t>
        </w:r>
        <w:r w:rsidR="000F77DF">
          <w:rPr>
            <w:noProof/>
            <w:webHidden/>
          </w:rPr>
          <w:fldChar w:fldCharType="end"/>
        </w:r>
      </w:hyperlink>
    </w:p>
    <w:p w14:paraId="24FF5F27" w14:textId="2AD78FC3" w:rsidR="000F77DF" w:rsidRDefault="006574B6">
      <w:pPr>
        <w:pStyle w:val="TOC3"/>
        <w:rPr>
          <w:rFonts w:eastAsiaTheme="minorEastAsia" w:cstheme="minorBidi"/>
          <w:i w:val="0"/>
          <w:iCs w:val="0"/>
          <w:noProof/>
          <w:sz w:val="22"/>
          <w:szCs w:val="22"/>
          <w:lang w:eastAsia="en-GB" w:bidi="ar-SA"/>
        </w:rPr>
      </w:pPr>
      <w:hyperlink w:anchor="_Toc56090023" w:history="1">
        <w:r w:rsidR="000F77DF" w:rsidRPr="00D2351A">
          <w:rPr>
            <w:rStyle w:val="Hyperlink"/>
            <w:noProof/>
          </w:rPr>
          <w:t>6.2.6</w:t>
        </w:r>
        <w:r w:rsidR="000F77DF">
          <w:rPr>
            <w:rFonts w:eastAsiaTheme="minorEastAsia" w:cstheme="minorBidi"/>
            <w:i w:val="0"/>
            <w:iCs w:val="0"/>
            <w:noProof/>
            <w:sz w:val="22"/>
            <w:szCs w:val="22"/>
            <w:lang w:eastAsia="en-GB" w:bidi="ar-SA"/>
          </w:rPr>
          <w:tab/>
        </w:r>
        <w:r w:rsidR="000F77DF" w:rsidRPr="00D2351A">
          <w:rPr>
            <w:rStyle w:val="Hyperlink"/>
            <w:noProof/>
          </w:rPr>
          <w:t>Concentration data</w:t>
        </w:r>
        <w:r w:rsidR="000F77DF">
          <w:rPr>
            <w:noProof/>
            <w:webHidden/>
          </w:rPr>
          <w:tab/>
        </w:r>
        <w:r w:rsidR="000F77DF">
          <w:rPr>
            <w:noProof/>
            <w:webHidden/>
          </w:rPr>
          <w:fldChar w:fldCharType="begin"/>
        </w:r>
        <w:r w:rsidR="000F77DF">
          <w:rPr>
            <w:noProof/>
            <w:webHidden/>
          </w:rPr>
          <w:instrText xml:space="preserve"> PAGEREF _Toc56090023 \h </w:instrText>
        </w:r>
        <w:r w:rsidR="000F77DF">
          <w:rPr>
            <w:noProof/>
            <w:webHidden/>
          </w:rPr>
        </w:r>
        <w:r w:rsidR="000F77DF">
          <w:rPr>
            <w:noProof/>
            <w:webHidden/>
          </w:rPr>
          <w:fldChar w:fldCharType="separate"/>
        </w:r>
        <w:r w:rsidR="00B548D2">
          <w:rPr>
            <w:noProof/>
            <w:webHidden/>
          </w:rPr>
          <w:t>32</w:t>
        </w:r>
        <w:r w:rsidR="000F77DF">
          <w:rPr>
            <w:noProof/>
            <w:webHidden/>
          </w:rPr>
          <w:fldChar w:fldCharType="end"/>
        </w:r>
      </w:hyperlink>
    </w:p>
    <w:p w14:paraId="73F219BB" w14:textId="2C4A8B4C" w:rsidR="000F77DF" w:rsidRDefault="006574B6">
      <w:pPr>
        <w:pStyle w:val="TOC2"/>
        <w:rPr>
          <w:rFonts w:eastAsiaTheme="minorEastAsia" w:cstheme="minorBidi"/>
          <w:smallCaps w:val="0"/>
          <w:noProof/>
          <w:sz w:val="22"/>
          <w:szCs w:val="22"/>
          <w:lang w:eastAsia="en-GB" w:bidi="ar-SA"/>
        </w:rPr>
      </w:pPr>
      <w:hyperlink w:anchor="_Toc56090024" w:history="1">
        <w:r w:rsidR="000F77DF" w:rsidRPr="00D2351A">
          <w:rPr>
            <w:rStyle w:val="Hyperlink"/>
            <w:noProof/>
          </w:rPr>
          <w:t>6.3</w:t>
        </w:r>
        <w:r w:rsidR="000F77DF">
          <w:rPr>
            <w:rFonts w:eastAsiaTheme="minorEastAsia" w:cstheme="minorBidi"/>
            <w:smallCaps w:val="0"/>
            <w:noProof/>
            <w:sz w:val="22"/>
            <w:szCs w:val="22"/>
            <w:lang w:eastAsia="en-GB" w:bidi="ar-SA"/>
          </w:rPr>
          <w:tab/>
        </w:r>
        <w:r w:rsidR="000F77DF" w:rsidRPr="00D2351A">
          <w:rPr>
            <w:rStyle w:val="Hyperlink"/>
            <w:noProof/>
          </w:rPr>
          <w:t>Dietary exposure assessment results</w:t>
        </w:r>
        <w:r w:rsidR="000F77DF">
          <w:rPr>
            <w:noProof/>
            <w:webHidden/>
          </w:rPr>
          <w:tab/>
        </w:r>
        <w:r w:rsidR="000F77DF">
          <w:rPr>
            <w:noProof/>
            <w:webHidden/>
          </w:rPr>
          <w:fldChar w:fldCharType="begin"/>
        </w:r>
        <w:r w:rsidR="000F77DF">
          <w:rPr>
            <w:noProof/>
            <w:webHidden/>
          </w:rPr>
          <w:instrText xml:space="preserve"> PAGEREF _Toc56090024 \h </w:instrText>
        </w:r>
        <w:r w:rsidR="000F77DF">
          <w:rPr>
            <w:noProof/>
            <w:webHidden/>
          </w:rPr>
        </w:r>
        <w:r w:rsidR="000F77DF">
          <w:rPr>
            <w:noProof/>
            <w:webHidden/>
          </w:rPr>
          <w:fldChar w:fldCharType="separate"/>
        </w:r>
        <w:r w:rsidR="00B548D2">
          <w:rPr>
            <w:noProof/>
            <w:webHidden/>
          </w:rPr>
          <w:t>34</w:t>
        </w:r>
        <w:r w:rsidR="000F77DF">
          <w:rPr>
            <w:noProof/>
            <w:webHidden/>
          </w:rPr>
          <w:fldChar w:fldCharType="end"/>
        </w:r>
      </w:hyperlink>
    </w:p>
    <w:p w14:paraId="29D20E7A" w14:textId="0C68E442" w:rsidR="000F77DF" w:rsidRDefault="006574B6">
      <w:pPr>
        <w:pStyle w:val="TOC3"/>
        <w:rPr>
          <w:rFonts w:eastAsiaTheme="minorEastAsia" w:cstheme="minorBidi"/>
          <w:i w:val="0"/>
          <w:iCs w:val="0"/>
          <w:noProof/>
          <w:sz w:val="22"/>
          <w:szCs w:val="22"/>
          <w:lang w:eastAsia="en-GB" w:bidi="ar-SA"/>
        </w:rPr>
      </w:pPr>
      <w:hyperlink w:anchor="_Toc56090025" w:history="1">
        <w:r w:rsidR="000F77DF" w:rsidRPr="00D2351A">
          <w:rPr>
            <w:rStyle w:val="Hyperlink"/>
            <w:noProof/>
          </w:rPr>
          <w:t>6.3.1</w:t>
        </w:r>
        <w:r w:rsidR="000F77DF">
          <w:rPr>
            <w:rFonts w:eastAsiaTheme="minorEastAsia" w:cstheme="minorBidi"/>
            <w:i w:val="0"/>
            <w:iCs w:val="0"/>
            <w:noProof/>
            <w:sz w:val="22"/>
            <w:szCs w:val="22"/>
            <w:lang w:eastAsia="en-GB" w:bidi="ar-SA"/>
          </w:rPr>
          <w:tab/>
        </w:r>
        <w:r w:rsidR="000F77DF" w:rsidRPr="00D2351A">
          <w:rPr>
            <w:rStyle w:val="Hyperlink"/>
            <w:noProof/>
          </w:rPr>
          <w:t>Estimated dietary exposures to rapeseed protein isolate</w:t>
        </w:r>
        <w:r w:rsidR="000F77DF">
          <w:rPr>
            <w:noProof/>
            <w:webHidden/>
          </w:rPr>
          <w:tab/>
        </w:r>
        <w:r w:rsidR="000F77DF">
          <w:rPr>
            <w:noProof/>
            <w:webHidden/>
          </w:rPr>
          <w:fldChar w:fldCharType="begin"/>
        </w:r>
        <w:r w:rsidR="000F77DF">
          <w:rPr>
            <w:noProof/>
            <w:webHidden/>
          </w:rPr>
          <w:instrText xml:space="preserve"> PAGEREF _Toc56090025 \h </w:instrText>
        </w:r>
        <w:r w:rsidR="000F77DF">
          <w:rPr>
            <w:noProof/>
            <w:webHidden/>
          </w:rPr>
        </w:r>
        <w:r w:rsidR="000F77DF">
          <w:rPr>
            <w:noProof/>
            <w:webHidden/>
          </w:rPr>
          <w:fldChar w:fldCharType="separate"/>
        </w:r>
        <w:r w:rsidR="00B548D2">
          <w:rPr>
            <w:noProof/>
            <w:webHidden/>
          </w:rPr>
          <w:t>34</w:t>
        </w:r>
        <w:r w:rsidR="000F77DF">
          <w:rPr>
            <w:noProof/>
            <w:webHidden/>
          </w:rPr>
          <w:fldChar w:fldCharType="end"/>
        </w:r>
      </w:hyperlink>
    </w:p>
    <w:p w14:paraId="7A821564" w14:textId="1A8E0EBC" w:rsidR="000F77DF" w:rsidRDefault="006574B6">
      <w:pPr>
        <w:pStyle w:val="TOC3"/>
        <w:rPr>
          <w:rFonts w:eastAsiaTheme="minorEastAsia" w:cstheme="minorBidi"/>
          <w:i w:val="0"/>
          <w:iCs w:val="0"/>
          <w:noProof/>
          <w:sz w:val="22"/>
          <w:szCs w:val="22"/>
          <w:lang w:eastAsia="en-GB" w:bidi="ar-SA"/>
        </w:rPr>
      </w:pPr>
      <w:hyperlink w:anchor="_Toc56090026" w:history="1">
        <w:r w:rsidR="000F77DF" w:rsidRPr="00D2351A">
          <w:rPr>
            <w:rStyle w:val="Hyperlink"/>
            <w:noProof/>
          </w:rPr>
          <w:t>6.3.2</w:t>
        </w:r>
        <w:r w:rsidR="000F77DF">
          <w:rPr>
            <w:rFonts w:eastAsiaTheme="minorEastAsia" w:cstheme="minorBidi"/>
            <w:i w:val="0"/>
            <w:iCs w:val="0"/>
            <w:noProof/>
            <w:sz w:val="22"/>
            <w:szCs w:val="22"/>
            <w:lang w:eastAsia="en-GB" w:bidi="ar-SA"/>
          </w:rPr>
          <w:tab/>
        </w:r>
        <w:r w:rsidR="000F77DF" w:rsidRPr="00D2351A">
          <w:rPr>
            <w:rStyle w:val="Hyperlink"/>
            <w:noProof/>
          </w:rPr>
          <w:t>Estimated dietary exposures to erucic acid and glucosinolates</w:t>
        </w:r>
        <w:r w:rsidR="000F77DF">
          <w:rPr>
            <w:noProof/>
            <w:webHidden/>
          </w:rPr>
          <w:tab/>
        </w:r>
        <w:r w:rsidR="000F77DF">
          <w:rPr>
            <w:noProof/>
            <w:webHidden/>
          </w:rPr>
          <w:fldChar w:fldCharType="begin"/>
        </w:r>
        <w:r w:rsidR="000F77DF">
          <w:rPr>
            <w:noProof/>
            <w:webHidden/>
          </w:rPr>
          <w:instrText xml:space="preserve"> PAGEREF _Toc56090026 \h </w:instrText>
        </w:r>
        <w:r w:rsidR="000F77DF">
          <w:rPr>
            <w:noProof/>
            <w:webHidden/>
          </w:rPr>
        </w:r>
        <w:r w:rsidR="000F77DF">
          <w:rPr>
            <w:noProof/>
            <w:webHidden/>
          </w:rPr>
          <w:fldChar w:fldCharType="separate"/>
        </w:r>
        <w:r w:rsidR="00B548D2">
          <w:rPr>
            <w:noProof/>
            <w:webHidden/>
          </w:rPr>
          <w:t>35</w:t>
        </w:r>
        <w:r w:rsidR="000F77DF">
          <w:rPr>
            <w:noProof/>
            <w:webHidden/>
          </w:rPr>
          <w:fldChar w:fldCharType="end"/>
        </w:r>
      </w:hyperlink>
    </w:p>
    <w:p w14:paraId="6B7B8A92" w14:textId="36165D70" w:rsidR="000F77DF" w:rsidRDefault="006574B6">
      <w:pPr>
        <w:pStyle w:val="TOC2"/>
        <w:rPr>
          <w:rFonts w:eastAsiaTheme="minorEastAsia" w:cstheme="minorBidi"/>
          <w:smallCaps w:val="0"/>
          <w:noProof/>
          <w:sz w:val="22"/>
          <w:szCs w:val="22"/>
          <w:lang w:eastAsia="en-GB" w:bidi="ar-SA"/>
        </w:rPr>
      </w:pPr>
      <w:hyperlink w:anchor="_Toc56090027" w:history="1">
        <w:r w:rsidR="000F77DF" w:rsidRPr="00D2351A">
          <w:rPr>
            <w:rStyle w:val="Hyperlink"/>
            <w:noProof/>
          </w:rPr>
          <w:t>6.4</w:t>
        </w:r>
        <w:r w:rsidR="000F77DF">
          <w:rPr>
            <w:rFonts w:eastAsiaTheme="minorEastAsia" w:cstheme="minorBidi"/>
            <w:smallCaps w:val="0"/>
            <w:noProof/>
            <w:sz w:val="22"/>
            <w:szCs w:val="22"/>
            <w:lang w:eastAsia="en-GB" w:bidi="ar-SA"/>
          </w:rPr>
          <w:tab/>
        </w:r>
        <w:r w:rsidR="000F77DF" w:rsidRPr="00D2351A">
          <w:rPr>
            <w:rStyle w:val="Hyperlink"/>
            <w:noProof/>
          </w:rPr>
          <w:t>Dietary exposure assessment conclusions</w:t>
        </w:r>
        <w:r w:rsidR="000F77DF">
          <w:rPr>
            <w:noProof/>
            <w:webHidden/>
          </w:rPr>
          <w:tab/>
        </w:r>
        <w:r w:rsidR="000F77DF">
          <w:rPr>
            <w:noProof/>
            <w:webHidden/>
          </w:rPr>
          <w:fldChar w:fldCharType="begin"/>
        </w:r>
        <w:r w:rsidR="000F77DF">
          <w:rPr>
            <w:noProof/>
            <w:webHidden/>
          </w:rPr>
          <w:instrText xml:space="preserve"> PAGEREF _Toc56090027 \h </w:instrText>
        </w:r>
        <w:r w:rsidR="000F77DF">
          <w:rPr>
            <w:noProof/>
            <w:webHidden/>
          </w:rPr>
        </w:r>
        <w:r w:rsidR="000F77DF">
          <w:rPr>
            <w:noProof/>
            <w:webHidden/>
          </w:rPr>
          <w:fldChar w:fldCharType="separate"/>
        </w:r>
        <w:r w:rsidR="00B548D2">
          <w:rPr>
            <w:noProof/>
            <w:webHidden/>
          </w:rPr>
          <w:t>39</w:t>
        </w:r>
        <w:r w:rsidR="000F77DF">
          <w:rPr>
            <w:noProof/>
            <w:webHidden/>
          </w:rPr>
          <w:fldChar w:fldCharType="end"/>
        </w:r>
      </w:hyperlink>
    </w:p>
    <w:p w14:paraId="7D7FFCF2" w14:textId="38488A4B"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90028" w:history="1">
        <w:r w:rsidR="000F77DF" w:rsidRPr="00D2351A">
          <w:rPr>
            <w:rStyle w:val="Hyperlink"/>
            <w:noProof/>
          </w:rPr>
          <w:t>7.</w:t>
        </w:r>
        <w:r w:rsidR="000F77DF">
          <w:rPr>
            <w:rFonts w:eastAsiaTheme="minorEastAsia" w:cstheme="minorBidi"/>
            <w:b w:val="0"/>
            <w:bCs w:val="0"/>
            <w:caps w:val="0"/>
            <w:noProof/>
            <w:sz w:val="22"/>
            <w:szCs w:val="22"/>
            <w:lang w:eastAsia="en-GB" w:bidi="ar-SA"/>
          </w:rPr>
          <w:tab/>
        </w:r>
        <w:r w:rsidR="000F77DF" w:rsidRPr="00D2351A">
          <w:rPr>
            <w:rStyle w:val="Hyperlink"/>
            <w:noProof/>
          </w:rPr>
          <w:t>Risk assessment conclusions</w:t>
        </w:r>
        <w:r w:rsidR="000F77DF">
          <w:rPr>
            <w:noProof/>
            <w:webHidden/>
          </w:rPr>
          <w:tab/>
        </w:r>
        <w:r w:rsidR="000F77DF">
          <w:rPr>
            <w:noProof/>
            <w:webHidden/>
          </w:rPr>
          <w:fldChar w:fldCharType="begin"/>
        </w:r>
        <w:r w:rsidR="000F77DF">
          <w:rPr>
            <w:noProof/>
            <w:webHidden/>
          </w:rPr>
          <w:instrText xml:space="preserve"> PAGEREF _Toc56090028 \h </w:instrText>
        </w:r>
        <w:r w:rsidR="000F77DF">
          <w:rPr>
            <w:noProof/>
            <w:webHidden/>
          </w:rPr>
        </w:r>
        <w:r w:rsidR="000F77DF">
          <w:rPr>
            <w:noProof/>
            <w:webHidden/>
          </w:rPr>
          <w:fldChar w:fldCharType="separate"/>
        </w:r>
        <w:r w:rsidR="00B548D2">
          <w:rPr>
            <w:noProof/>
            <w:webHidden/>
          </w:rPr>
          <w:t>39</w:t>
        </w:r>
        <w:r w:rsidR="000F77DF">
          <w:rPr>
            <w:noProof/>
            <w:webHidden/>
          </w:rPr>
          <w:fldChar w:fldCharType="end"/>
        </w:r>
      </w:hyperlink>
    </w:p>
    <w:p w14:paraId="3217BE22" w14:textId="39F43F78"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90029" w:history="1">
        <w:r w:rsidR="000F77DF" w:rsidRPr="00D2351A">
          <w:rPr>
            <w:rStyle w:val="Hyperlink"/>
            <w:noProof/>
          </w:rPr>
          <w:t>8.</w:t>
        </w:r>
        <w:r w:rsidR="000F77DF">
          <w:rPr>
            <w:rFonts w:eastAsiaTheme="minorEastAsia" w:cstheme="minorBidi"/>
            <w:b w:val="0"/>
            <w:bCs w:val="0"/>
            <w:caps w:val="0"/>
            <w:noProof/>
            <w:sz w:val="22"/>
            <w:szCs w:val="22"/>
            <w:lang w:eastAsia="en-GB" w:bidi="ar-SA"/>
          </w:rPr>
          <w:tab/>
        </w:r>
        <w:r w:rsidR="000F77DF" w:rsidRPr="00D2351A">
          <w:rPr>
            <w:rStyle w:val="Hyperlink"/>
            <w:noProof/>
          </w:rPr>
          <w:t>References</w:t>
        </w:r>
        <w:r w:rsidR="000F77DF">
          <w:rPr>
            <w:noProof/>
            <w:webHidden/>
          </w:rPr>
          <w:tab/>
        </w:r>
        <w:r w:rsidR="000F77DF">
          <w:rPr>
            <w:noProof/>
            <w:webHidden/>
          </w:rPr>
          <w:fldChar w:fldCharType="begin"/>
        </w:r>
        <w:r w:rsidR="000F77DF">
          <w:rPr>
            <w:noProof/>
            <w:webHidden/>
          </w:rPr>
          <w:instrText xml:space="preserve"> PAGEREF _Toc56090029 \h </w:instrText>
        </w:r>
        <w:r w:rsidR="000F77DF">
          <w:rPr>
            <w:noProof/>
            <w:webHidden/>
          </w:rPr>
        </w:r>
        <w:r w:rsidR="000F77DF">
          <w:rPr>
            <w:noProof/>
            <w:webHidden/>
          </w:rPr>
          <w:fldChar w:fldCharType="separate"/>
        </w:r>
        <w:r w:rsidR="00B548D2">
          <w:rPr>
            <w:noProof/>
            <w:webHidden/>
          </w:rPr>
          <w:t>40</w:t>
        </w:r>
        <w:r w:rsidR="000F77DF">
          <w:rPr>
            <w:noProof/>
            <w:webHidden/>
          </w:rPr>
          <w:fldChar w:fldCharType="end"/>
        </w:r>
      </w:hyperlink>
    </w:p>
    <w:p w14:paraId="53E5FFAF" w14:textId="5B0C84F4" w:rsidR="000F77DF" w:rsidRDefault="006574B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090030" w:history="1">
        <w:r w:rsidR="000F77DF" w:rsidRPr="00D2351A">
          <w:rPr>
            <w:rStyle w:val="Hyperlink"/>
            <w:noProof/>
          </w:rPr>
          <w:t>9.</w:t>
        </w:r>
        <w:r w:rsidR="000F77DF">
          <w:rPr>
            <w:rFonts w:eastAsiaTheme="minorEastAsia" w:cstheme="minorBidi"/>
            <w:b w:val="0"/>
            <w:bCs w:val="0"/>
            <w:caps w:val="0"/>
            <w:noProof/>
            <w:sz w:val="22"/>
            <w:szCs w:val="22"/>
            <w:lang w:eastAsia="en-GB" w:bidi="ar-SA"/>
          </w:rPr>
          <w:tab/>
        </w:r>
        <w:r w:rsidR="000F77DF" w:rsidRPr="00D2351A">
          <w:rPr>
            <w:rStyle w:val="Hyperlink"/>
            <w:noProof/>
          </w:rPr>
          <w:t>Appendix 1 Details of the dietary exposure assessment</w:t>
        </w:r>
        <w:r w:rsidR="000F77DF">
          <w:rPr>
            <w:noProof/>
            <w:webHidden/>
          </w:rPr>
          <w:tab/>
        </w:r>
        <w:r w:rsidR="000F77DF">
          <w:rPr>
            <w:noProof/>
            <w:webHidden/>
          </w:rPr>
          <w:fldChar w:fldCharType="begin"/>
        </w:r>
        <w:r w:rsidR="000F77DF">
          <w:rPr>
            <w:noProof/>
            <w:webHidden/>
          </w:rPr>
          <w:instrText xml:space="preserve"> PAGEREF _Toc56090030 \h </w:instrText>
        </w:r>
        <w:r w:rsidR="000F77DF">
          <w:rPr>
            <w:noProof/>
            <w:webHidden/>
          </w:rPr>
        </w:r>
        <w:r w:rsidR="000F77DF">
          <w:rPr>
            <w:noProof/>
            <w:webHidden/>
          </w:rPr>
          <w:fldChar w:fldCharType="separate"/>
        </w:r>
        <w:r w:rsidR="00B548D2">
          <w:rPr>
            <w:noProof/>
            <w:webHidden/>
          </w:rPr>
          <w:t>47</w:t>
        </w:r>
        <w:r w:rsidR="000F77DF">
          <w:rPr>
            <w:noProof/>
            <w:webHidden/>
          </w:rPr>
          <w:fldChar w:fldCharType="end"/>
        </w:r>
      </w:hyperlink>
    </w:p>
    <w:p w14:paraId="398EB48A" w14:textId="0C3B16A3" w:rsidR="000F77DF" w:rsidRDefault="006574B6">
      <w:pPr>
        <w:pStyle w:val="TOC2"/>
        <w:rPr>
          <w:rFonts w:eastAsiaTheme="minorEastAsia" w:cstheme="minorBidi"/>
          <w:smallCaps w:val="0"/>
          <w:noProof/>
          <w:sz w:val="22"/>
          <w:szCs w:val="22"/>
          <w:lang w:eastAsia="en-GB" w:bidi="ar-SA"/>
        </w:rPr>
      </w:pPr>
      <w:hyperlink w:anchor="_Toc56090031" w:history="1">
        <w:r w:rsidR="000F77DF" w:rsidRPr="00D2351A">
          <w:rPr>
            <w:rStyle w:val="Hyperlink"/>
            <w:noProof/>
          </w:rPr>
          <w:t>9.1</w:t>
        </w:r>
        <w:r w:rsidR="000F77DF">
          <w:rPr>
            <w:rFonts w:eastAsiaTheme="minorEastAsia" w:cstheme="minorBidi"/>
            <w:smallCaps w:val="0"/>
            <w:noProof/>
            <w:sz w:val="22"/>
            <w:szCs w:val="22"/>
            <w:lang w:eastAsia="en-GB" w:bidi="ar-SA"/>
          </w:rPr>
          <w:tab/>
        </w:r>
        <w:r w:rsidR="000F77DF" w:rsidRPr="00D2351A">
          <w:rPr>
            <w:rStyle w:val="Hyperlink"/>
            <w:noProof/>
          </w:rPr>
          <w:t>Food consumption data</w:t>
        </w:r>
        <w:r w:rsidR="000F77DF">
          <w:rPr>
            <w:noProof/>
            <w:webHidden/>
          </w:rPr>
          <w:tab/>
        </w:r>
        <w:r w:rsidR="000F77DF">
          <w:rPr>
            <w:noProof/>
            <w:webHidden/>
          </w:rPr>
          <w:fldChar w:fldCharType="begin"/>
        </w:r>
        <w:r w:rsidR="000F77DF">
          <w:rPr>
            <w:noProof/>
            <w:webHidden/>
          </w:rPr>
          <w:instrText xml:space="preserve"> PAGEREF _Toc56090031 \h </w:instrText>
        </w:r>
        <w:r w:rsidR="000F77DF">
          <w:rPr>
            <w:noProof/>
            <w:webHidden/>
          </w:rPr>
        </w:r>
        <w:r w:rsidR="000F77DF">
          <w:rPr>
            <w:noProof/>
            <w:webHidden/>
          </w:rPr>
          <w:fldChar w:fldCharType="separate"/>
        </w:r>
        <w:r w:rsidR="00B548D2">
          <w:rPr>
            <w:noProof/>
            <w:webHidden/>
          </w:rPr>
          <w:t>47</w:t>
        </w:r>
        <w:r w:rsidR="000F77DF">
          <w:rPr>
            <w:noProof/>
            <w:webHidden/>
          </w:rPr>
          <w:fldChar w:fldCharType="end"/>
        </w:r>
      </w:hyperlink>
    </w:p>
    <w:p w14:paraId="32B0F56A" w14:textId="2008C6D3" w:rsidR="000F77DF" w:rsidRDefault="006574B6">
      <w:pPr>
        <w:pStyle w:val="TOC2"/>
        <w:rPr>
          <w:rFonts w:eastAsiaTheme="minorEastAsia" w:cstheme="minorBidi"/>
          <w:smallCaps w:val="0"/>
          <w:noProof/>
          <w:sz w:val="22"/>
          <w:szCs w:val="22"/>
          <w:lang w:eastAsia="en-GB" w:bidi="ar-SA"/>
        </w:rPr>
      </w:pPr>
      <w:hyperlink w:anchor="_Toc56090032" w:history="1">
        <w:r w:rsidR="000F77DF" w:rsidRPr="00D2351A">
          <w:rPr>
            <w:rStyle w:val="Hyperlink"/>
            <w:noProof/>
          </w:rPr>
          <w:t>9.2</w:t>
        </w:r>
        <w:r w:rsidR="000F77DF">
          <w:rPr>
            <w:rFonts w:eastAsiaTheme="minorEastAsia" w:cstheme="minorBidi"/>
            <w:smallCaps w:val="0"/>
            <w:noProof/>
            <w:sz w:val="22"/>
            <w:szCs w:val="22"/>
            <w:lang w:eastAsia="en-GB" w:bidi="ar-SA"/>
          </w:rPr>
          <w:tab/>
        </w:r>
        <w:r w:rsidR="000F77DF" w:rsidRPr="00D2351A">
          <w:rPr>
            <w:rStyle w:val="Hyperlink"/>
            <w:noProof/>
          </w:rPr>
          <w:t>Assumptions and limitations of the dietary exposure assessment</w:t>
        </w:r>
        <w:r w:rsidR="000F77DF">
          <w:rPr>
            <w:noProof/>
            <w:webHidden/>
          </w:rPr>
          <w:tab/>
        </w:r>
        <w:r w:rsidR="000F77DF">
          <w:rPr>
            <w:noProof/>
            <w:webHidden/>
          </w:rPr>
          <w:fldChar w:fldCharType="begin"/>
        </w:r>
        <w:r w:rsidR="000F77DF">
          <w:rPr>
            <w:noProof/>
            <w:webHidden/>
          </w:rPr>
          <w:instrText xml:space="preserve"> PAGEREF _Toc56090032 \h </w:instrText>
        </w:r>
        <w:r w:rsidR="000F77DF">
          <w:rPr>
            <w:noProof/>
            <w:webHidden/>
          </w:rPr>
        </w:r>
        <w:r w:rsidR="000F77DF">
          <w:rPr>
            <w:noProof/>
            <w:webHidden/>
          </w:rPr>
          <w:fldChar w:fldCharType="separate"/>
        </w:r>
        <w:r w:rsidR="00B548D2">
          <w:rPr>
            <w:noProof/>
            <w:webHidden/>
          </w:rPr>
          <w:t>49</w:t>
        </w:r>
        <w:r w:rsidR="000F77DF">
          <w:rPr>
            <w:noProof/>
            <w:webHidden/>
          </w:rPr>
          <w:fldChar w:fldCharType="end"/>
        </w:r>
      </w:hyperlink>
    </w:p>
    <w:p w14:paraId="49C3B0D5" w14:textId="6DC7315A" w:rsidR="000F77DF" w:rsidRDefault="006574B6">
      <w:pPr>
        <w:pStyle w:val="TOC2"/>
        <w:rPr>
          <w:rFonts w:eastAsiaTheme="minorEastAsia" w:cstheme="minorBidi"/>
          <w:smallCaps w:val="0"/>
          <w:noProof/>
          <w:sz w:val="22"/>
          <w:szCs w:val="22"/>
          <w:lang w:eastAsia="en-GB" w:bidi="ar-SA"/>
        </w:rPr>
      </w:pPr>
      <w:hyperlink w:anchor="_Toc56090033" w:history="1">
        <w:r w:rsidR="000F77DF" w:rsidRPr="00D2351A">
          <w:rPr>
            <w:rStyle w:val="Hyperlink"/>
            <w:noProof/>
          </w:rPr>
          <w:t>9.3</w:t>
        </w:r>
        <w:r w:rsidR="000F77DF">
          <w:rPr>
            <w:rFonts w:eastAsiaTheme="minorEastAsia" w:cstheme="minorBidi"/>
            <w:smallCaps w:val="0"/>
            <w:noProof/>
            <w:sz w:val="22"/>
            <w:szCs w:val="22"/>
            <w:lang w:eastAsia="en-GB" w:bidi="ar-SA"/>
          </w:rPr>
          <w:tab/>
        </w:r>
        <w:r w:rsidR="000F77DF" w:rsidRPr="00D2351A">
          <w:rPr>
            <w:rStyle w:val="Hyperlink"/>
            <w:noProof/>
          </w:rPr>
          <w:t>Concentration data</w:t>
        </w:r>
        <w:r w:rsidR="000F77DF">
          <w:rPr>
            <w:noProof/>
            <w:webHidden/>
          </w:rPr>
          <w:tab/>
        </w:r>
        <w:r w:rsidR="000F77DF">
          <w:rPr>
            <w:noProof/>
            <w:webHidden/>
          </w:rPr>
          <w:fldChar w:fldCharType="begin"/>
        </w:r>
        <w:r w:rsidR="000F77DF">
          <w:rPr>
            <w:noProof/>
            <w:webHidden/>
          </w:rPr>
          <w:instrText xml:space="preserve"> PAGEREF _Toc56090033 \h </w:instrText>
        </w:r>
        <w:r w:rsidR="000F77DF">
          <w:rPr>
            <w:noProof/>
            <w:webHidden/>
          </w:rPr>
        </w:r>
        <w:r w:rsidR="000F77DF">
          <w:rPr>
            <w:noProof/>
            <w:webHidden/>
          </w:rPr>
          <w:fldChar w:fldCharType="separate"/>
        </w:r>
        <w:r w:rsidR="00B548D2">
          <w:rPr>
            <w:noProof/>
            <w:webHidden/>
          </w:rPr>
          <w:t>49</w:t>
        </w:r>
        <w:r w:rsidR="000F77DF">
          <w:rPr>
            <w:noProof/>
            <w:webHidden/>
          </w:rPr>
          <w:fldChar w:fldCharType="end"/>
        </w:r>
      </w:hyperlink>
    </w:p>
    <w:p w14:paraId="7363C699" w14:textId="2D312346" w:rsidR="000F77DF" w:rsidRDefault="006574B6">
      <w:pPr>
        <w:pStyle w:val="TOC2"/>
        <w:rPr>
          <w:rFonts w:eastAsiaTheme="minorEastAsia" w:cstheme="minorBidi"/>
          <w:smallCaps w:val="0"/>
          <w:noProof/>
          <w:sz w:val="22"/>
          <w:szCs w:val="22"/>
          <w:lang w:eastAsia="en-GB" w:bidi="ar-SA"/>
        </w:rPr>
      </w:pPr>
      <w:hyperlink w:anchor="_Toc56090034" w:history="1">
        <w:r w:rsidR="000F77DF" w:rsidRPr="00D2351A">
          <w:rPr>
            <w:rStyle w:val="Hyperlink"/>
            <w:noProof/>
          </w:rPr>
          <w:t>9.4</w:t>
        </w:r>
        <w:r w:rsidR="000F77DF">
          <w:rPr>
            <w:rFonts w:eastAsiaTheme="minorEastAsia" w:cstheme="minorBidi"/>
            <w:smallCaps w:val="0"/>
            <w:noProof/>
            <w:sz w:val="22"/>
            <w:szCs w:val="22"/>
            <w:lang w:eastAsia="en-GB" w:bidi="ar-SA"/>
          </w:rPr>
          <w:tab/>
        </w:r>
        <w:r w:rsidR="000F77DF" w:rsidRPr="00D2351A">
          <w:rPr>
            <w:rStyle w:val="Hyperlink"/>
            <w:noProof/>
          </w:rPr>
          <w:t>Methodology</w:t>
        </w:r>
        <w:r w:rsidR="000F77DF">
          <w:rPr>
            <w:noProof/>
            <w:webHidden/>
          </w:rPr>
          <w:tab/>
        </w:r>
        <w:r w:rsidR="000F77DF">
          <w:rPr>
            <w:noProof/>
            <w:webHidden/>
          </w:rPr>
          <w:fldChar w:fldCharType="begin"/>
        </w:r>
        <w:r w:rsidR="000F77DF">
          <w:rPr>
            <w:noProof/>
            <w:webHidden/>
          </w:rPr>
          <w:instrText xml:space="preserve"> PAGEREF _Toc56090034 \h </w:instrText>
        </w:r>
        <w:r w:rsidR="000F77DF">
          <w:rPr>
            <w:noProof/>
            <w:webHidden/>
          </w:rPr>
        </w:r>
        <w:r w:rsidR="000F77DF">
          <w:rPr>
            <w:noProof/>
            <w:webHidden/>
          </w:rPr>
          <w:fldChar w:fldCharType="separate"/>
        </w:r>
        <w:r w:rsidR="00B548D2">
          <w:rPr>
            <w:noProof/>
            <w:webHidden/>
          </w:rPr>
          <w:t>54</w:t>
        </w:r>
        <w:r w:rsidR="000F77DF">
          <w:rPr>
            <w:noProof/>
            <w:webHidden/>
          </w:rPr>
          <w:fldChar w:fldCharType="end"/>
        </w:r>
      </w:hyperlink>
    </w:p>
    <w:p w14:paraId="55C6D903" w14:textId="44CE0DF1" w:rsidR="000F77DF" w:rsidRDefault="006574B6">
      <w:pPr>
        <w:pStyle w:val="TOC2"/>
        <w:rPr>
          <w:rFonts w:eastAsiaTheme="minorEastAsia" w:cstheme="minorBidi"/>
          <w:smallCaps w:val="0"/>
          <w:noProof/>
          <w:sz w:val="22"/>
          <w:szCs w:val="22"/>
          <w:lang w:eastAsia="en-GB" w:bidi="ar-SA"/>
        </w:rPr>
      </w:pPr>
      <w:hyperlink w:anchor="_Toc56090035" w:history="1">
        <w:r w:rsidR="000F77DF" w:rsidRPr="00D2351A">
          <w:rPr>
            <w:rStyle w:val="Hyperlink"/>
            <w:noProof/>
          </w:rPr>
          <w:t>9.5</w:t>
        </w:r>
        <w:r w:rsidR="000F77DF">
          <w:rPr>
            <w:rFonts w:eastAsiaTheme="minorEastAsia" w:cstheme="minorBidi"/>
            <w:smallCaps w:val="0"/>
            <w:noProof/>
            <w:sz w:val="22"/>
            <w:szCs w:val="22"/>
            <w:lang w:eastAsia="en-GB" w:bidi="ar-SA"/>
          </w:rPr>
          <w:tab/>
        </w:r>
        <w:r w:rsidR="000F77DF" w:rsidRPr="00D2351A">
          <w:rPr>
            <w:rStyle w:val="Hyperlink"/>
            <w:noProof/>
          </w:rPr>
          <w:t>Detailed dietary exposure assessment results based on proposed maximum use levels</w:t>
        </w:r>
        <w:r w:rsidR="000F77DF">
          <w:rPr>
            <w:noProof/>
            <w:webHidden/>
          </w:rPr>
          <w:tab/>
        </w:r>
        <w:r w:rsidR="000F77DF">
          <w:rPr>
            <w:noProof/>
            <w:webHidden/>
          </w:rPr>
          <w:fldChar w:fldCharType="begin"/>
        </w:r>
        <w:r w:rsidR="000F77DF">
          <w:rPr>
            <w:noProof/>
            <w:webHidden/>
          </w:rPr>
          <w:instrText xml:space="preserve"> PAGEREF _Toc56090035 \h </w:instrText>
        </w:r>
        <w:r w:rsidR="000F77DF">
          <w:rPr>
            <w:noProof/>
            <w:webHidden/>
          </w:rPr>
        </w:r>
        <w:r w:rsidR="000F77DF">
          <w:rPr>
            <w:noProof/>
            <w:webHidden/>
          </w:rPr>
          <w:fldChar w:fldCharType="separate"/>
        </w:r>
        <w:r w:rsidR="00B548D2">
          <w:rPr>
            <w:noProof/>
            <w:webHidden/>
          </w:rPr>
          <w:t>55</w:t>
        </w:r>
        <w:r w:rsidR="000F77DF">
          <w:rPr>
            <w:noProof/>
            <w:webHidden/>
          </w:rPr>
          <w:fldChar w:fldCharType="end"/>
        </w:r>
      </w:hyperlink>
    </w:p>
    <w:p w14:paraId="488024A0" w14:textId="1A1310F1" w:rsidR="000F77DF" w:rsidRDefault="006574B6">
      <w:pPr>
        <w:pStyle w:val="TOC3"/>
        <w:rPr>
          <w:rFonts w:eastAsiaTheme="minorEastAsia" w:cstheme="minorBidi"/>
          <w:i w:val="0"/>
          <w:iCs w:val="0"/>
          <w:noProof/>
          <w:sz w:val="22"/>
          <w:szCs w:val="22"/>
          <w:lang w:eastAsia="en-GB" w:bidi="ar-SA"/>
        </w:rPr>
      </w:pPr>
      <w:hyperlink w:anchor="_Toc56090036" w:history="1">
        <w:r w:rsidR="000F77DF" w:rsidRPr="00D2351A">
          <w:rPr>
            <w:rStyle w:val="Hyperlink"/>
            <w:rFonts w:eastAsiaTheme="minorHAnsi"/>
            <w:noProof/>
          </w:rPr>
          <w:t xml:space="preserve">9.5.1 </w:t>
        </w:r>
        <w:r w:rsidR="000F77DF" w:rsidRPr="00D2351A">
          <w:rPr>
            <w:rStyle w:val="Hyperlink"/>
            <w:noProof/>
          </w:rPr>
          <w:t>Estimated dietary exposures to rapeseed protein isolate based on proposed maximum use levels</w:t>
        </w:r>
        <w:r w:rsidR="000F77DF">
          <w:rPr>
            <w:noProof/>
            <w:webHidden/>
          </w:rPr>
          <w:tab/>
        </w:r>
        <w:r w:rsidR="000F77DF">
          <w:rPr>
            <w:noProof/>
            <w:webHidden/>
          </w:rPr>
          <w:fldChar w:fldCharType="begin"/>
        </w:r>
        <w:r w:rsidR="000F77DF">
          <w:rPr>
            <w:noProof/>
            <w:webHidden/>
          </w:rPr>
          <w:instrText xml:space="preserve"> PAGEREF _Toc56090036 \h </w:instrText>
        </w:r>
        <w:r w:rsidR="000F77DF">
          <w:rPr>
            <w:noProof/>
            <w:webHidden/>
          </w:rPr>
        </w:r>
        <w:r w:rsidR="000F77DF">
          <w:rPr>
            <w:noProof/>
            <w:webHidden/>
          </w:rPr>
          <w:fldChar w:fldCharType="separate"/>
        </w:r>
        <w:r w:rsidR="00B548D2">
          <w:rPr>
            <w:noProof/>
            <w:webHidden/>
          </w:rPr>
          <w:t>55</w:t>
        </w:r>
        <w:r w:rsidR="000F77DF">
          <w:rPr>
            <w:noProof/>
            <w:webHidden/>
          </w:rPr>
          <w:fldChar w:fldCharType="end"/>
        </w:r>
      </w:hyperlink>
    </w:p>
    <w:p w14:paraId="7709F479" w14:textId="37637209" w:rsidR="000F77DF" w:rsidRDefault="006574B6">
      <w:pPr>
        <w:pStyle w:val="TOC3"/>
        <w:rPr>
          <w:rFonts w:eastAsiaTheme="minorEastAsia" w:cstheme="minorBidi"/>
          <w:i w:val="0"/>
          <w:iCs w:val="0"/>
          <w:noProof/>
          <w:sz w:val="22"/>
          <w:szCs w:val="22"/>
          <w:lang w:eastAsia="en-GB" w:bidi="ar-SA"/>
        </w:rPr>
      </w:pPr>
      <w:hyperlink w:anchor="_Toc56090037" w:history="1">
        <w:r w:rsidR="000F77DF" w:rsidRPr="00D2351A">
          <w:rPr>
            <w:rStyle w:val="Hyperlink"/>
            <w:rFonts w:eastAsiaTheme="minorHAnsi"/>
            <w:noProof/>
          </w:rPr>
          <w:t xml:space="preserve">9.5.2 </w:t>
        </w:r>
        <w:r w:rsidR="000F77DF" w:rsidRPr="00D2351A">
          <w:rPr>
            <w:rStyle w:val="Hyperlink"/>
            <w:noProof/>
          </w:rPr>
          <w:t>Dietary exposure to erucic acid from rapeseed protein isolate with a comparison to dietary exposures from Brassica vegetables</w:t>
        </w:r>
        <w:r w:rsidR="000F77DF">
          <w:rPr>
            <w:noProof/>
            <w:webHidden/>
          </w:rPr>
          <w:tab/>
        </w:r>
        <w:r w:rsidR="000F77DF">
          <w:rPr>
            <w:noProof/>
            <w:webHidden/>
          </w:rPr>
          <w:fldChar w:fldCharType="begin"/>
        </w:r>
        <w:r w:rsidR="000F77DF">
          <w:rPr>
            <w:noProof/>
            <w:webHidden/>
          </w:rPr>
          <w:instrText xml:space="preserve"> PAGEREF _Toc56090037 \h </w:instrText>
        </w:r>
        <w:r w:rsidR="000F77DF">
          <w:rPr>
            <w:noProof/>
            <w:webHidden/>
          </w:rPr>
        </w:r>
        <w:r w:rsidR="000F77DF">
          <w:rPr>
            <w:noProof/>
            <w:webHidden/>
          </w:rPr>
          <w:fldChar w:fldCharType="separate"/>
        </w:r>
        <w:r w:rsidR="00B548D2">
          <w:rPr>
            <w:noProof/>
            <w:webHidden/>
          </w:rPr>
          <w:t>55</w:t>
        </w:r>
        <w:r w:rsidR="000F77DF">
          <w:rPr>
            <w:noProof/>
            <w:webHidden/>
          </w:rPr>
          <w:fldChar w:fldCharType="end"/>
        </w:r>
      </w:hyperlink>
    </w:p>
    <w:p w14:paraId="53F4CACE" w14:textId="7D5E1721" w:rsidR="000F77DF" w:rsidRDefault="006574B6">
      <w:pPr>
        <w:pStyle w:val="TOC3"/>
        <w:rPr>
          <w:rFonts w:eastAsiaTheme="minorEastAsia" w:cstheme="minorBidi"/>
          <w:i w:val="0"/>
          <w:iCs w:val="0"/>
          <w:noProof/>
          <w:sz w:val="22"/>
          <w:szCs w:val="22"/>
          <w:lang w:eastAsia="en-GB" w:bidi="ar-SA"/>
        </w:rPr>
      </w:pPr>
      <w:hyperlink w:anchor="_Toc56090038" w:history="1">
        <w:r w:rsidR="000F77DF" w:rsidRPr="00D2351A">
          <w:rPr>
            <w:rStyle w:val="Hyperlink"/>
            <w:rFonts w:eastAsiaTheme="minorHAnsi"/>
            <w:noProof/>
          </w:rPr>
          <w:t xml:space="preserve">9.5.3 </w:t>
        </w:r>
        <w:r w:rsidR="000F77DF" w:rsidRPr="00D2351A">
          <w:rPr>
            <w:rStyle w:val="Hyperlink"/>
            <w:noProof/>
          </w:rPr>
          <w:t>Dietary exposure to glucosinolates from rapeseed protein isolate with a comparison to dietary exposures from Brassica vegetables</w:t>
        </w:r>
        <w:r w:rsidR="000F77DF">
          <w:rPr>
            <w:noProof/>
            <w:webHidden/>
          </w:rPr>
          <w:tab/>
        </w:r>
        <w:r w:rsidR="000F77DF">
          <w:rPr>
            <w:noProof/>
            <w:webHidden/>
          </w:rPr>
          <w:fldChar w:fldCharType="begin"/>
        </w:r>
        <w:r w:rsidR="000F77DF">
          <w:rPr>
            <w:noProof/>
            <w:webHidden/>
          </w:rPr>
          <w:instrText xml:space="preserve"> PAGEREF _Toc56090038 \h </w:instrText>
        </w:r>
        <w:r w:rsidR="000F77DF">
          <w:rPr>
            <w:noProof/>
            <w:webHidden/>
          </w:rPr>
        </w:r>
        <w:r w:rsidR="000F77DF">
          <w:rPr>
            <w:noProof/>
            <w:webHidden/>
          </w:rPr>
          <w:fldChar w:fldCharType="separate"/>
        </w:r>
        <w:r w:rsidR="00B548D2">
          <w:rPr>
            <w:noProof/>
            <w:webHidden/>
          </w:rPr>
          <w:t>56</w:t>
        </w:r>
        <w:r w:rsidR="000F77DF">
          <w:rPr>
            <w:noProof/>
            <w:webHidden/>
          </w:rPr>
          <w:fldChar w:fldCharType="end"/>
        </w:r>
      </w:hyperlink>
    </w:p>
    <w:p w14:paraId="7EC54318" w14:textId="1EAE1FD6" w:rsidR="00562917" w:rsidRDefault="00602C1A" w:rsidP="00602C1A">
      <w:pPr>
        <w:pStyle w:val="TOC1"/>
        <w:tabs>
          <w:tab w:val="right" w:leader="dot" w:pos="9060"/>
        </w:tabs>
      </w:pPr>
      <w:r>
        <w:rPr>
          <w:b w:val="0"/>
          <w:bCs w:val="0"/>
          <w:caps w:val="0"/>
        </w:rPr>
        <w:fldChar w:fldCharType="end"/>
      </w:r>
    </w:p>
    <w:p w14:paraId="70ABF22B" w14:textId="77777777" w:rsidR="00E066BA" w:rsidRDefault="00E066BA" w:rsidP="00051ED9"/>
    <w:p w14:paraId="0F763E9B" w14:textId="77777777" w:rsidR="00051ED9" w:rsidRDefault="00562917" w:rsidP="00772BDC">
      <w:r w:rsidRPr="00E203C2">
        <w:br w:type="page"/>
      </w:r>
    </w:p>
    <w:p w14:paraId="464C71D6" w14:textId="6190F8E0" w:rsidR="00D60568" w:rsidRDefault="00602C1A" w:rsidP="00B902E4">
      <w:pPr>
        <w:pStyle w:val="Heading1"/>
        <w:numPr>
          <w:ilvl w:val="0"/>
          <w:numId w:val="4"/>
        </w:numPr>
        <w:ind w:hanging="720"/>
      </w:pPr>
      <w:bookmarkStart w:id="34" w:name="_Toc38549478"/>
      <w:bookmarkStart w:id="35" w:name="_Toc38634136"/>
      <w:bookmarkStart w:id="36" w:name="_Toc39571008"/>
      <w:bookmarkStart w:id="37" w:name="_Toc39579263"/>
      <w:bookmarkStart w:id="38" w:name="_Toc39579326"/>
      <w:bookmarkStart w:id="39" w:name="_Toc39587084"/>
      <w:bookmarkStart w:id="40" w:name="_Toc39582476"/>
      <w:bookmarkStart w:id="41" w:name="_Toc40264891"/>
      <w:bookmarkStart w:id="42" w:name="_Toc40266367"/>
      <w:bookmarkStart w:id="43" w:name="_Toc40279699"/>
      <w:bookmarkStart w:id="44" w:name="_Toc40282001"/>
      <w:bookmarkStart w:id="45" w:name="_Toc40282162"/>
      <w:bookmarkStart w:id="46" w:name="_Toc40360493"/>
      <w:bookmarkStart w:id="47" w:name="_Toc40366883"/>
      <w:bookmarkStart w:id="48" w:name="_Toc40368215"/>
      <w:bookmarkStart w:id="49" w:name="_Toc40382822"/>
      <w:bookmarkStart w:id="50" w:name="_Toc40431023"/>
      <w:bookmarkStart w:id="51" w:name="_Toc40432961"/>
      <w:bookmarkStart w:id="52" w:name="_Toc40447646"/>
      <w:bookmarkStart w:id="53" w:name="_Toc40441175"/>
      <w:bookmarkStart w:id="54" w:name="_Toc40448511"/>
      <w:bookmarkStart w:id="55" w:name="_Toc40449938"/>
      <w:bookmarkStart w:id="56" w:name="_Toc40968283"/>
      <w:bookmarkStart w:id="57" w:name="_Toc41051005"/>
      <w:bookmarkStart w:id="58" w:name="_Toc41046005"/>
      <w:bookmarkStart w:id="59" w:name="_Toc41053463"/>
      <w:bookmarkStart w:id="60" w:name="_Toc44592634"/>
      <w:bookmarkStart w:id="61" w:name="_Toc44596146"/>
      <w:bookmarkStart w:id="62" w:name="_Toc44604541"/>
      <w:bookmarkStart w:id="63" w:name="_Toc54169690"/>
      <w:bookmarkStart w:id="64" w:name="_Toc56089979"/>
      <w:r>
        <w:t>Introduction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348452E" w14:textId="4A95B385" w:rsidR="004B0C21" w:rsidRDefault="00602C1A" w:rsidP="00C94D8A">
      <w:pPr>
        <w:rPr>
          <w:lang w:bidi="ar-SA"/>
        </w:rPr>
      </w:pPr>
      <w:r>
        <w:rPr>
          <w:lang w:bidi="ar-SA"/>
        </w:rPr>
        <w:t xml:space="preserve">FSANZ received an application from DSM Nutritional Products </w:t>
      </w:r>
      <w:r w:rsidR="004B0C21">
        <w:rPr>
          <w:lang w:bidi="ar-SA"/>
        </w:rPr>
        <w:t xml:space="preserve">Asia Pacific to amend the Code to permit the use of rapeseed protein </w:t>
      </w:r>
      <w:r w:rsidR="00775472">
        <w:rPr>
          <w:lang w:bidi="ar-SA"/>
        </w:rPr>
        <w:t xml:space="preserve">isolate </w:t>
      </w:r>
      <w:r w:rsidR="004B0C21">
        <w:rPr>
          <w:lang w:bidi="ar-SA"/>
        </w:rPr>
        <w:t>as a novel food.</w:t>
      </w:r>
      <w:r w:rsidR="007E5003">
        <w:rPr>
          <w:lang w:bidi="ar-SA"/>
        </w:rPr>
        <w:t xml:space="preserve"> Th</w:t>
      </w:r>
      <w:r w:rsidR="00D52C7B">
        <w:rPr>
          <w:lang w:bidi="ar-SA"/>
        </w:rPr>
        <w:t>e application was submitted</w:t>
      </w:r>
      <w:r w:rsidR="007E5003">
        <w:rPr>
          <w:lang w:bidi="ar-SA"/>
        </w:rPr>
        <w:t xml:space="preserve"> </w:t>
      </w:r>
      <w:r w:rsidR="00EB2142">
        <w:rPr>
          <w:lang w:bidi="ar-SA"/>
        </w:rPr>
        <w:t>following</w:t>
      </w:r>
      <w:r w:rsidR="007E5003">
        <w:rPr>
          <w:lang w:bidi="ar-SA"/>
        </w:rPr>
        <w:t xml:space="preserve"> FSANZ’s Advisory Committee on Novel Foods (ACNF) </w:t>
      </w:r>
      <w:r w:rsidR="00D52C7B">
        <w:rPr>
          <w:lang w:bidi="ar-SA"/>
        </w:rPr>
        <w:t xml:space="preserve">view </w:t>
      </w:r>
      <w:r w:rsidR="00027987">
        <w:rPr>
          <w:lang w:bidi="ar-SA"/>
        </w:rPr>
        <w:t xml:space="preserve">in May 2017 </w:t>
      </w:r>
      <w:r w:rsidR="007E5003">
        <w:rPr>
          <w:lang w:bidi="ar-SA"/>
        </w:rPr>
        <w:t xml:space="preserve">that rapeseed protein </w:t>
      </w:r>
      <w:r w:rsidR="007F7194">
        <w:rPr>
          <w:lang w:bidi="ar-SA"/>
        </w:rPr>
        <w:t xml:space="preserve">isolate </w:t>
      </w:r>
      <w:r w:rsidR="007E5003">
        <w:rPr>
          <w:lang w:bidi="ar-SA"/>
        </w:rPr>
        <w:t>was a</w:t>
      </w:r>
      <w:r w:rsidR="002C5868">
        <w:rPr>
          <w:lang w:bidi="ar-SA"/>
        </w:rPr>
        <w:t xml:space="preserve"> non-traditional and</w:t>
      </w:r>
      <w:r w:rsidR="007E5003">
        <w:rPr>
          <w:lang w:bidi="ar-SA"/>
        </w:rPr>
        <w:t xml:space="preserve"> novel food</w:t>
      </w:r>
      <w:r w:rsidR="00926E14">
        <w:rPr>
          <w:lang w:bidi="ar-SA"/>
        </w:rPr>
        <w:t xml:space="preserve"> (FSANZ, 2017</w:t>
      </w:r>
      <w:r w:rsidR="005D16DC">
        <w:rPr>
          <w:lang w:bidi="ar-SA"/>
        </w:rPr>
        <w:t>a</w:t>
      </w:r>
      <w:r w:rsidR="00926E14">
        <w:rPr>
          <w:lang w:bidi="ar-SA"/>
        </w:rPr>
        <w:t>)</w:t>
      </w:r>
      <w:r w:rsidR="007E5003">
        <w:rPr>
          <w:lang w:bidi="ar-SA"/>
        </w:rPr>
        <w:t>.</w:t>
      </w:r>
      <w:r w:rsidR="00D52C7B">
        <w:rPr>
          <w:lang w:bidi="ar-SA"/>
        </w:rPr>
        <w:t xml:space="preserve"> This mean</w:t>
      </w:r>
      <w:r w:rsidR="00027987">
        <w:rPr>
          <w:lang w:bidi="ar-SA"/>
        </w:rPr>
        <w:t>s</w:t>
      </w:r>
      <w:r w:rsidR="00D52C7B">
        <w:rPr>
          <w:lang w:bidi="ar-SA"/>
        </w:rPr>
        <w:t xml:space="preserve"> that for rap</w:t>
      </w:r>
      <w:r w:rsidR="00027987">
        <w:rPr>
          <w:lang w:bidi="ar-SA"/>
        </w:rPr>
        <w:t>e</w:t>
      </w:r>
      <w:r w:rsidR="00D52C7B">
        <w:rPr>
          <w:lang w:bidi="ar-SA"/>
        </w:rPr>
        <w:t xml:space="preserve">seed protein </w:t>
      </w:r>
      <w:r w:rsidR="00C37C57">
        <w:rPr>
          <w:lang w:bidi="ar-SA"/>
        </w:rPr>
        <w:t xml:space="preserve">isolate </w:t>
      </w:r>
      <w:r w:rsidR="00D52C7B">
        <w:rPr>
          <w:lang w:bidi="ar-SA"/>
        </w:rPr>
        <w:t xml:space="preserve">to be </w:t>
      </w:r>
      <w:r w:rsidR="00027987">
        <w:rPr>
          <w:lang w:bidi="ar-SA"/>
        </w:rPr>
        <w:t xml:space="preserve">permitted </w:t>
      </w:r>
      <w:r w:rsidR="00BA593E">
        <w:rPr>
          <w:lang w:bidi="ar-SA"/>
        </w:rPr>
        <w:t>as a novel food</w:t>
      </w:r>
      <w:r w:rsidR="00C37C57">
        <w:rPr>
          <w:lang w:bidi="ar-SA"/>
        </w:rPr>
        <w:t>,</w:t>
      </w:r>
      <w:r w:rsidR="00BA593E">
        <w:rPr>
          <w:lang w:bidi="ar-SA"/>
        </w:rPr>
        <w:t xml:space="preserve"> assessment and</w:t>
      </w:r>
      <w:r w:rsidR="00027987">
        <w:rPr>
          <w:lang w:bidi="ar-SA"/>
        </w:rPr>
        <w:t xml:space="preserve"> </w:t>
      </w:r>
      <w:r w:rsidR="00C37C57">
        <w:rPr>
          <w:lang w:bidi="ar-SA"/>
        </w:rPr>
        <w:t xml:space="preserve">an </w:t>
      </w:r>
      <w:r w:rsidR="00D52C7B">
        <w:rPr>
          <w:lang w:bidi="ar-SA"/>
        </w:rPr>
        <w:t>amendment to the Code</w:t>
      </w:r>
      <w:r w:rsidR="00027987">
        <w:rPr>
          <w:lang w:bidi="ar-SA"/>
        </w:rPr>
        <w:t xml:space="preserve"> </w:t>
      </w:r>
      <w:r w:rsidR="001D32AB">
        <w:rPr>
          <w:lang w:bidi="ar-SA"/>
        </w:rPr>
        <w:t>is</w:t>
      </w:r>
      <w:r w:rsidR="00027987">
        <w:rPr>
          <w:lang w:bidi="ar-SA"/>
        </w:rPr>
        <w:t xml:space="preserve"> required</w:t>
      </w:r>
      <w:r w:rsidR="00D52C7B">
        <w:rPr>
          <w:lang w:bidi="ar-SA"/>
        </w:rPr>
        <w:t>.</w:t>
      </w:r>
    </w:p>
    <w:p w14:paraId="56321EF5" w14:textId="2B634779" w:rsidR="004B0C21" w:rsidRDefault="004B0C21" w:rsidP="004B0C21">
      <w:pPr>
        <w:rPr>
          <w:lang w:bidi="ar-SA"/>
        </w:rPr>
      </w:pPr>
    </w:p>
    <w:p w14:paraId="2D306DB3" w14:textId="527FB884" w:rsidR="004B0C21" w:rsidRDefault="004B0C21" w:rsidP="004B0C21">
      <w:pPr>
        <w:rPr>
          <w:lang w:bidi="ar-SA"/>
        </w:rPr>
      </w:pPr>
      <w:r>
        <w:rPr>
          <w:lang w:bidi="ar-SA"/>
        </w:rPr>
        <w:t xml:space="preserve">Rapeseed protein </w:t>
      </w:r>
      <w:r w:rsidR="00C37C57">
        <w:rPr>
          <w:lang w:bidi="ar-SA"/>
        </w:rPr>
        <w:t xml:space="preserve">isolate </w:t>
      </w:r>
      <w:r>
        <w:rPr>
          <w:lang w:bidi="ar-SA"/>
        </w:rPr>
        <w:t xml:space="preserve">is intended for use </w:t>
      </w:r>
      <w:r w:rsidR="004A26DB">
        <w:rPr>
          <w:lang w:bidi="ar-SA"/>
        </w:rPr>
        <w:t>as a</w:t>
      </w:r>
      <w:r w:rsidR="00926E14">
        <w:rPr>
          <w:lang w:bidi="ar-SA"/>
        </w:rPr>
        <w:t xml:space="preserve"> </w:t>
      </w:r>
      <w:r>
        <w:rPr>
          <w:lang w:bidi="ar-SA"/>
        </w:rPr>
        <w:t xml:space="preserve">protein source </w:t>
      </w:r>
      <w:r w:rsidR="00926E14">
        <w:rPr>
          <w:lang w:bidi="ar-SA"/>
        </w:rPr>
        <w:t>and</w:t>
      </w:r>
      <w:r w:rsidR="003D3574">
        <w:rPr>
          <w:lang w:bidi="ar-SA"/>
        </w:rPr>
        <w:t xml:space="preserve"> ingredient </w:t>
      </w:r>
      <w:r>
        <w:rPr>
          <w:lang w:bidi="ar-SA"/>
        </w:rPr>
        <w:t>in a range of</w:t>
      </w:r>
      <w:r w:rsidR="002538FB">
        <w:rPr>
          <w:lang w:bidi="ar-SA"/>
        </w:rPr>
        <w:t xml:space="preserve"> food </w:t>
      </w:r>
      <w:r w:rsidR="00AE099C">
        <w:rPr>
          <w:lang w:bidi="ar-SA"/>
        </w:rPr>
        <w:t>classes</w:t>
      </w:r>
      <w:r w:rsidR="002538FB">
        <w:rPr>
          <w:lang w:bidi="ar-SA"/>
        </w:rPr>
        <w:t xml:space="preserve">. It is </w:t>
      </w:r>
      <w:r w:rsidR="007F2B0F">
        <w:rPr>
          <w:lang w:bidi="ar-SA"/>
        </w:rPr>
        <w:t>intended to be</w:t>
      </w:r>
      <w:r w:rsidR="002538FB">
        <w:rPr>
          <w:lang w:bidi="ar-SA"/>
        </w:rPr>
        <w:t xml:space="preserve"> used </w:t>
      </w:r>
      <w:r w:rsidR="007F0A95">
        <w:rPr>
          <w:lang w:bidi="ar-SA"/>
        </w:rPr>
        <w:t>as</w:t>
      </w:r>
      <w:r w:rsidR="002538FB">
        <w:rPr>
          <w:lang w:bidi="ar-SA"/>
        </w:rPr>
        <w:t xml:space="preserve"> a </w:t>
      </w:r>
      <w:r w:rsidR="00D163B5" w:rsidRPr="00D163B5">
        <w:rPr>
          <w:lang w:bidi="ar-SA"/>
        </w:rPr>
        <w:t>repl</w:t>
      </w:r>
      <w:r w:rsidR="00D163B5">
        <w:rPr>
          <w:lang w:bidi="ar-SA"/>
        </w:rPr>
        <w:t>acement</w:t>
      </w:r>
      <w:r w:rsidR="007F0A95">
        <w:rPr>
          <w:lang w:bidi="ar-SA"/>
        </w:rPr>
        <w:t xml:space="preserve"> </w:t>
      </w:r>
      <w:r w:rsidR="00FC7C42">
        <w:rPr>
          <w:lang w:bidi="ar-SA"/>
        </w:rPr>
        <w:t>for</w:t>
      </w:r>
      <w:r w:rsidR="002538FB">
        <w:t xml:space="preserve"> proteins </w:t>
      </w:r>
      <w:r w:rsidR="00A62A21">
        <w:t xml:space="preserve">sourced </w:t>
      </w:r>
      <w:r w:rsidR="00B101A8">
        <w:t>from</w:t>
      </w:r>
      <w:r w:rsidR="002538FB">
        <w:t xml:space="preserve"> animal (e.g. whey) or </w:t>
      </w:r>
      <w:r w:rsidR="00B101A8">
        <w:t xml:space="preserve">other </w:t>
      </w:r>
      <w:r w:rsidR="002538FB">
        <w:t>plant</w:t>
      </w:r>
      <w:r w:rsidR="00A62A21">
        <w:t>s</w:t>
      </w:r>
      <w:r w:rsidR="00EA4D84">
        <w:t xml:space="preserve"> </w:t>
      </w:r>
      <w:r w:rsidR="002538FB">
        <w:t>(e.g. soy, pea</w:t>
      </w:r>
      <w:r w:rsidR="00EA4D84">
        <w:t>)</w:t>
      </w:r>
      <w:r w:rsidR="00FE1072">
        <w:t>,</w:t>
      </w:r>
      <w:r w:rsidR="00647AA8">
        <w:t xml:space="preserve"> </w:t>
      </w:r>
      <w:r w:rsidR="00C23F4F">
        <w:t xml:space="preserve">including </w:t>
      </w:r>
      <w:r w:rsidR="00F55A11">
        <w:t xml:space="preserve">for use </w:t>
      </w:r>
      <w:r w:rsidR="00647AA8">
        <w:t>in new product development</w:t>
      </w:r>
      <w:r w:rsidR="002538FB">
        <w:t xml:space="preserve">. </w:t>
      </w:r>
      <w:r w:rsidR="00A11020">
        <w:rPr>
          <w:lang w:bidi="ar-SA"/>
        </w:rPr>
        <w:t xml:space="preserve">The applicant did not seek permission for use of rapeseed protein isolate in infant </w:t>
      </w:r>
      <w:r w:rsidR="00C70C88">
        <w:rPr>
          <w:lang w:bidi="ar-SA"/>
        </w:rPr>
        <w:t xml:space="preserve">formula </w:t>
      </w:r>
      <w:r w:rsidR="00A11020">
        <w:rPr>
          <w:lang w:bidi="ar-SA"/>
        </w:rPr>
        <w:t xml:space="preserve">products </w:t>
      </w:r>
      <w:r w:rsidR="00C70C88">
        <w:rPr>
          <w:lang w:bidi="ar-SA"/>
        </w:rPr>
        <w:t xml:space="preserve">(includes infant formula, follow-on formula and infant formula products for special dietary uses) </w:t>
      </w:r>
      <w:r w:rsidR="00A11020">
        <w:rPr>
          <w:lang w:bidi="ar-SA"/>
        </w:rPr>
        <w:t xml:space="preserve">and </w:t>
      </w:r>
      <w:r w:rsidR="00C70C88">
        <w:rPr>
          <w:lang w:bidi="ar-SA"/>
        </w:rPr>
        <w:t>infant foods</w:t>
      </w:r>
      <w:r w:rsidR="00C37C57">
        <w:rPr>
          <w:lang w:bidi="ar-SA"/>
        </w:rPr>
        <w:t xml:space="preserve"> </w:t>
      </w:r>
      <w:r w:rsidR="00A11020">
        <w:rPr>
          <w:lang w:bidi="ar-SA"/>
        </w:rPr>
        <w:t xml:space="preserve">so the </w:t>
      </w:r>
      <w:r w:rsidR="00C70C88">
        <w:rPr>
          <w:lang w:bidi="ar-SA"/>
        </w:rPr>
        <w:t xml:space="preserve">scope </w:t>
      </w:r>
      <w:r w:rsidR="008B6A56">
        <w:rPr>
          <w:lang w:bidi="ar-SA"/>
        </w:rPr>
        <w:t xml:space="preserve">of the </w:t>
      </w:r>
      <w:r w:rsidR="00A11020">
        <w:rPr>
          <w:lang w:bidi="ar-SA"/>
        </w:rPr>
        <w:t>assessment does not include these</w:t>
      </w:r>
      <w:r w:rsidR="008B6A56">
        <w:rPr>
          <w:lang w:bidi="ar-SA"/>
        </w:rPr>
        <w:t xml:space="preserve"> food </w:t>
      </w:r>
      <w:r w:rsidR="00AE099C">
        <w:rPr>
          <w:lang w:bidi="ar-SA"/>
        </w:rPr>
        <w:t>classes</w:t>
      </w:r>
      <w:r w:rsidR="00A11020">
        <w:rPr>
          <w:lang w:bidi="ar-SA"/>
        </w:rPr>
        <w:t>.</w:t>
      </w:r>
      <w:r w:rsidR="00250B1D">
        <w:rPr>
          <w:lang w:bidi="ar-SA"/>
        </w:rPr>
        <w:t xml:space="preserve"> The </w:t>
      </w:r>
      <w:r w:rsidR="00912661">
        <w:rPr>
          <w:lang w:bidi="ar-SA"/>
        </w:rPr>
        <w:t>a</w:t>
      </w:r>
      <w:r w:rsidR="00250B1D">
        <w:rPr>
          <w:lang w:bidi="ar-SA"/>
        </w:rPr>
        <w:t>pplicant provided typical use levels from 2 to 10% for FSANZ to undertake a more refined risk assessment.</w:t>
      </w:r>
      <w:r w:rsidR="00912661">
        <w:rPr>
          <w:lang w:bidi="ar-SA"/>
        </w:rPr>
        <w:t xml:space="preserve"> The application also noted maximum proposed use levels of up to 30% in protein based products and meat analogues.</w:t>
      </w:r>
    </w:p>
    <w:p w14:paraId="46577B7E" w14:textId="77777777" w:rsidR="00003459" w:rsidRDefault="00003459" w:rsidP="004B0C21">
      <w:pPr>
        <w:rPr>
          <w:lang w:bidi="ar-SA"/>
        </w:rPr>
      </w:pPr>
    </w:p>
    <w:p w14:paraId="1597ACF8" w14:textId="22B50350" w:rsidR="009E25FD" w:rsidRPr="00ED1AF6" w:rsidRDefault="00B4142D" w:rsidP="009E25FD">
      <w:r>
        <w:rPr>
          <w:lang w:bidi="ar-SA"/>
        </w:rPr>
        <w:t>Throughout this document</w:t>
      </w:r>
      <w:r w:rsidR="004B0C21">
        <w:rPr>
          <w:lang w:bidi="ar-SA"/>
        </w:rPr>
        <w:t xml:space="preserve"> the substance is referred to as rapeseed protein</w:t>
      </w:r>
      <w:r w:rsidR="00621777">
        <w:rPr>
          <w:lang w:bidi="ar-SA"/>
        </w:rPr>
        <w:t xml:space="preserve"> isolate</w:t>
      </w:r>
      <w:r w:rsidR="004B0C21">
        <w:rPr>
          <w:lang w:bidi="ar-SA"/>
        </w:rPr>
        <w:t xml:space="preserve">. </w:t>
      </w:r>
      <w:r w:rsidR="009E25FD" w:rsidRPr="00F3738A">
        <w:rPr>
          <w:lang w:bidi="ar-SA"/>
        </w:rPr>
        <w:t xml:space="preserve">Although the common name for </w:t>
      </w:r>
      <w:r w:rsidR="00C43EEF" w:rsidRPr="007308A9">
        <w:rPr>
          <w:lang w:bidi="ar-SA"/>
        </w:rPr>
        <w:t xml:space="preserve">modern cultivars of these </w:t>
      </w:r>
      <w:r w:rsidR="00C43EEF" w:rsidRPr="007308A9">
        <w:rPr>
          <w:i/>
          <w:lang w:bidi="ar-SA"/>
        </w:rPr>
        <w:t>Brassica</w:t>
      </w:r>
      <w:r w:rsidR="00C43EEF" w:rsidRPr="007308A9">
        <w:rPr>
          <w:lang w:bidi="ar-SA"/>
        </w:rPr>
        <w:t xml:space="preserve"> species that are </w:t>
      </w:r>
      <w:r w:rsidR="009E25FD" w:rsidRPr="007308A9">
        <w:rPr>
          <w:lang w:bidi="ar-SA"/>
        </w:rPr>
        <w:t xml:space="preserve">low </w:t>
      </w:r>
      <w:r w:rsidR="007308A9" w:rsidRPr="007308A9">
        <w:rPr>
          <w:lang w:bidi="ar-SA"/>
        </w:rPr>
        <w:t xml:space="preserve">in </w:t>
      </w:r>
      <w:r w:rsidR="009E25FD" w:rsidRPr="007308A9">
        <w:rPr>
          <w:lang w:bidi="ar-SA"/>
        </w:rPr>
        <w:t>erucic acid and glucosinolate in</w:t>
      </w:r>
      <w:r w:rsidR="009E25FD" w:rsidRPr="00F3738A">
        <w:rPr>
          <w:lang w:bidi="ar-SA"/>
        </w:rPr>
        <w:t xml:space="preserve"> </w:t>
      </w:r>
      <w:r w:rsidR="009E25FD">
        <w:rPr>
          <w:lang w:bidi="ar-SA"/>
        </w:rPr>
        <w:t>North America and Australasia</w:t>
      </w:r>
      <w:r w:rsidR="009E25FD" w:rsidRPr="00F3738A">
        <w:rPr>
          <w:lang w:bidi="ar-SA"/>
        </w:rPr>
        <w:t xml:space="preserve"> is canola, the term rapeseed protein isolate is referred to throughout this document</w:t>
      </w:r>
      <w:r w:rsidR="009E25FD">
        <w:rPr>
          <w:lang w:bidi="ar-SA"/>
        </w:rPr>
        <w:t>.</w:t>
      </w:r>
      <w:r w:rsidR="009E25FD" w:rsidRPr="00F3738A">
        <w:rPr>
          <w:lang w:bidi="ar-SA"/>
        </w:rPr>
        <w:t xml:space="preserve"> </w:t>
      </w:r>
    </w:p>
    <w:p w14:paraId="4765EF0E" w14:textId="77777777" w:rsidR="00112D70" w:rsidRDefault="00112D70" w:rsidP="004B0C21">
      <w:pPr>
        <w:rPr>
          <w:lang w:bidi="ar-SA"/>
        </w:rPr>
      </w:pPr>
    </w:p>
    <w:p w14:paraId="31EC29A3" w14:textId="7727A806" w:rsidR="00B508EE" w:rsidRDefault="00D81C2D" w:rsidP="004B0C21">
      <w:pPr>
        <w:rPr>
          <w:lang w:bidi="ar-SA"/>
        </w:rPr>
      </w:pPr>
      <w:r>
        <w:rPr>
          <w:lang w:bidi="ar-SA"/>
        </w:rPr>
        <w:t>Rapese</w:t>
      </w:r>
      <w:r w:rsidR="004B0C21">
        <w:rPr>
          <w:lang w:bidi="ar-SA"/>
        </w:rPr>
        <w:t xml:space="preserve">ed protein </w:t>
      </w:r>
      <w:r w:rsidR="00324BB5">
        <w:rPr>
          <w:lang w:bidi="ar-SA"/>
        </w:rPr>
        <w:t xml:space="preserve">isolate </w:t>
      </w:r>
      <w:r w:rsidR="00311FA5">
        <w:rPr>
          <w:lang w:bidi="ar-SA"/>
        </w:rPr>
        <w:t>is</w:t>
      </w:r>
      <w:r w:rsidR="004B0C21">
        <w:rPr>
          <w:lang w:bidi="ar-SA"/>
        </w:rPr>
        <w:t xml:space="preserve"> </w:t>
      </w:r>
      <w:r w:rsidR="00D7625B">
        <w:rPr>
          <w:lang w:bidi="ar-SA"/>
        </w:rPr>
        <w:t xml:space="preserve">derived </w:t>
      </w:r>
      <w:r w:rsidR="00926E14">
        <w:rPr>
          <w:lang w:bidi="ar-SA"/>
        </w:rPr>
        <w:t xml:space="preserve">via </w:t>
      </w:r>
      <w:r w:rsidR="004B0C21">
        <w:rPr>
          <w:lang w:bidi="ar-SA"/>
        </w:rPr>
        <w:t>extract</w:t>
      </w:r>
      <w:r w:rsidR="00926E14">
        <w:rPr>
          <w:lang w:bidi="ar-SA"/>
        </w:rPr>
        <w:t>ion</w:t>
      </w:r>
      <w:r w:rsidR="004B0C21">
        <w:rPr>
          <w:lang w:bidi="ar-SA"/>
        </w:rPr>
        <w:t xml:space="preserve"> from </w:t>
      </w:r>
      <w:r>
        <w:rPr>
          <w:lang w:bidi="ar-SA"/>
        </w:rPr>
        <w:t xml:space="preserve">rapeseed </w:t>
      </w:r>
      <w:r w:rsidR="001F4463">
        <w:rPr>
          <w:lang w:bidi="ar-SA"/>
        </w:rPr>
        <w:t xml:space="preserve">press </w:t>
      </w:r>
      <w:r>
        <w:rPr>
          <w:lang w:bidi="ar-SA"/>
        </w:rPr>
        <w:t>cake</w:t>
      </w:r>
      <w:r w:rsidR="00D7625B">
        <w:rPr>
          <w:lang w:bidi="ar-SA"/>
        </w:rPr>
        <w:t xml:space="preserve"> </w:t>
      </w:r>
      <w:r w:rsidR="00D7625B" w:rsidRPr="00D7625B">
        <w:rPr>
          <w:lang w:bidi="ar-SA"/>
        </w:rPr>
        <w:t>that is retained after oil pressing from the</w:t>
      </w:r>
      <w:r w:rsidR="00D7625B">
        <w:rPr>
          <w:lang w:bidi="ar-SA"/>
        </w:rPr>
        <w:t xml:space="preserve"> seeds of one or more of</w:t>
      </w:r>
      <w:r w:rsidR="00D7625B" w:rsidRPr="00D7625B">
        <w:rPr>
          <w:lang w:bidi="ar-SA"/>
        </w:rPr>
        <w:t xml:space="preserve"> </w:t>
      </w:r>
      <w:r w:rsidR="00D7625B" w:rsidRPr="00D7625B">
        <w:rPr>
          <w:i/>
          <w:lang w:bidi="ar-SA"/>
        </w:rPr>
        <w:t>Brassica napus</w:t>
      </w:r>
      <w:r w:rsidR="00D7625B" w:rsidRPr="00D7625B">
        <w:rPr>
          <w:lang w:bidi="ar-SA"/>
        </w:rPr>
        <w:t xml:space="preserve">, </w:t>
      </w:r>
      <w:r w:rsidR="00D7625B" w:rsidRPr="00D7625B">
        <w:rPr>
          <w:i/>
          <w:lang w:bidi="ar-SA"/>
        </w:rPr>
        <w:t>Brassica rapa or Brassica juncea</w:t>
      </w:r>
      <w:r w:rsidR="00D7625B">
        <w:rPr>
          <w:i/>
          <w:lang w:bidi="ar-SA"/>
        </w:rPr>
        <w:t>.</w:t>
      </w:r>
      <w:r w:rsidR="00D7625B">
        <w:rPr>
          <w:lang w:bidi="ar-SA"/>
        </w:rPr>
        <w:t xml:space="preserve"> </w:t>
      </w:r>
      <w:r w:rsidR="00B508EE">
        <w:rPr>
          <w:lang w:bidi="ar-SA"/>
        </w:rPr>
        <w:t xml:space="preserve">Rapeseed protein </w:t>
      </w:r>
      <w:r w:rsidR="00C94D8A">
        <w:rPr>
          <w:lang w:bidi="ar-SA"/>
        </w:rPr>
        <w:t xml:space="preserve">isolate </w:t>
      </w:r>
      <w:r w:rsidR="00046BDD">
        <w:rPr>
          <w:lang w:bidi="ar-SA"/>
        </w:rPr>
        <w:t xml:space="preserve">has </w:t>
      </w:r>
      <w:r w:rsidR="00B508EE">
        <w:rPr>
          <w:lang w:bidi="ar-SA"/>
        </w:rPr>
        <w:t>a good sensory profile</w:t>
      </w:r>
      <w:r w:rsidR="007F7194">
        <w:rPr>
          <w:lang w:bidi="ar-SA"/>
        </w:rPr>
        <w:t xml:space="preserve"> for use </w:t>
      </w:r>
      <w:r w:rsidR="009D164C">
        <w:rPr>
          <w:lang w:bidi="ar-SA"/>
        </w:rPr>
        <w:t>up to levels of 30%</w:t>
      </w:r>
      <w:r w:rsidR="00A72F18">
        <w:rPr>
          <w:lang w:bidi="ar-SA"/>
        </w:rPr>
        <w:t xml:space="preserve"> (noting </w:t>
      </w:r>
      <w:r w:rsidR="003C09D2">
        <w:rPr>
          <w:lang w:bidi="ar-SA"/>
        </w:rPr>
        <w:t xml:space="preserve">that </w:t>
      </w:r>
      <w:r w:rsidR="005D00E4">
        <w:rPr>
          <w:lang w:bidi="ar-SA"/>
        </w:rPr>
        <w:t xml:space="preserve">typical </w:t>
      </w:r>
      <w:r w:rsidR="00A72F18">
        <w:rPr>
          <w:lang w:bidi="ar-SA"/>
        </w:rPr>
        <w:t>use levels are up to 10%)</w:t>
      </w:r>
      <w:r w:rsidR="009D164C">
        <w:rPr>
          <w:lang w:bidi="ar-SA"/>
        </w:rPr>
        <w:t xml:space="preserve"> </w:t>
      </w:r>
      <w:r w:rsidR="007F7194">
        <w:rPr>
          <w:lang w:bidi="ar-SA"/>
        </w:rPr>
        <w:t>as an ingredient in food</w:t>
      </w:r>
      <w:r w:rsidR="003D44B3">
        <w:rPr>
          <w:lang w:bidi="ar-SA"/>
        </w:rPr>
        <w:t xml:space="preserve">. </w:t>
      </w:r>
      <w:r w:rsidR="00046BDD">
        <w:rPr>
          <w:lang w:bidi="ar-SA"/>
        </w:rPr>
        <w:t>T</w:t>
      </w:r>
      <w:r w:rsidR="00027987">
        <w:rPr>
          <w:lang w:bidi="ar-SA"/>
        </w:rPr>
        <w:t xml:space="preserve">he protein content </w:t>
      </w:r>
      <w:r w:rsidR="00065D26">
        <w:rPr>
          <w:lang w:bidi="ar-SA"/>
        </w:rPr>
        <w:t>of</w:t>
      </w:r>
      <w:r w:rsidR="00046BDD">
        <w:rPr>
          <w:lang w:bidi="ar-SA"/>
        </w:rPr>
        <w:t xml:space="preserve"> </w:t>
      </w:r>
      <w:r w:rsidR="00046BDD">
        <w:rPr>
          <w:rFonts w:cs="Arial"/>
          <w:lang w:bidi="ar-SA"/>
        </w:rPr>
        <w:t xml:space="preserve">at least </w:t>
      </w:r>
      <w:r w:rsidR="00F51C67">
        <w:rPr>
          <w:lang w:bidi="ar-SA"/>
        </w:rPr>
        <w:t xml:space="preserve">90% </w:t>
      </w:r>
      <w:r w:rsidR="00BF3A52">
        <w:rPr>
          <w:lang w:bidi="ar-SA"/>
        </w:rPr>
        <w:t xml:space="preserve">also </w:t>
      </w:r>
      <w:r w:rsidR="007E5003">
        <w:rPr>
          <w:lang w:bidi="ar-SA"/>
        </w:rPr>
        <w:t>provid</w:t>
      </w:r>
      <w:r w:rsidR="00B4142D">
        <w:rPr>
          <w:lang w:bidi="ar-SA"/>
        </w:rPr>
        <w:t>es</w:t>
      </w:r>
      <w:r w:rsidR="00B508EE">
        <w:rPr>
          <w:lang w:bidi="ar-SA"/>
        </w:rPr>
        <w:t xml:space="preserve"> a range of functional properties in food applications.</w:t>
      </w:r>
    </w:p>
    <w:p w14:paraId="2B15678E" w14:textId="716CD37C" w:rsidR="00B508EE" w:rsidRDefault="00B508EE" w:rsidP="00B902E4">
      <w:pPr>
        <w:pStyle w:val="Heading1"/>
        <w:numPr>
          <w:ilvl w:val="0"/>
          <w:numId w:val="4"/>
        </w:numPr>
        <w:ind w:hanging="720"/>
      </w:pPr>
      <w:bookmarkStart w:id="65" w:name="_Toc38549479"/>
      <w:bookmarkStart w:id="66" w:name="_Toc38634137"/>
      <w:bookmarkStart w:id="67" w:name="_Toc39571009"/>
      <w:bookmarkStart w:id="68" w:name="_Toc39579264"/>
      <w:bookmarkStart w:id="69" w:name="_Toc39579327"/>
      <w:bookmarkStart w:id="70" w:name="_Toc39587085"/>
      <w:bookmarkStart w:id="71" w:name="_Toc39582477"/>
      <w:bookmarkStart w:id="72" w:name="_Toc40264892"/>
      <w:bookmarkStart w:id="73" w:name="_Toc40266368"/>
      <w:bookmarkStart w:id="74" w:name="_Toc40279700"/>
      <w:bookmarkStart w:id="75" w:name="_Toc40282002"/>
      <w:bookmarkStart w:id="76" w:name="_Toc40282163"/>
      <w:bookmarkStart w:id="77" w:name="_Toc40360494"/>
      <w:bookmarkStart w:id="78" w:name="_Toc40366884"/>
      <w:bookmarkStart w:id="79" w:name="_Toc40368216"/>
      <w:bookmarkStart w:id="80" w:name="_Toc40382823"/>
      <w:bookmarkStart w:id="81" w:name="_Toc40431024"/>
      <w:bookmarkStart w:id="82" w:name="_Toc40432962"/>
      <w:bookmarkStart w:id="83" w:name="_Toc40447647"/>
      <w:bookmarkStart w:id="84" w:name="_Toc40441176"/>
      <w:bookmarkStart w:id="85" w:name="_Toc40448512"/>
      <w:bookmarkStart w:id="86" w:name="_Toc40449939"/>
      <w:bookmarkStart w:id="87" w:name="_Toc40968284"/>
      <w:bookmarkStart w:id="88" w:name="_Toc41051006"/>
      <w:bookmarkStart w:id="89" w:name="_Toc41046006"/>
      <w:bookmarkStart w:id="90" w:name="_Toc41053464"/>
      <w:bookmarkStart w:id="91" w:name="_Toc44592635"/>
      <w:bookmarkStart w:id="92" w:name="_Toc44596147"/>
      <w:bookmarkStart w:id="93" w:name="_Toc44604542"/>
      <w:bookmarkStart w:id="94" w:name="_Toc54169691"/>
      <w:bookmarkStart w:id="95" w:name="_Toc56089980"/>
      <w:r>
        <w:t>Food technology assessment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B55DBC6" w14:textId="3B56A937" w:rsidR="00B508EE" w:rsidRPr="00B508EE" w:rsidRDefault="00B508EE" w:rsidP="00E41BD5">
      <w:pPr>
        <w:pStyle w:val="Heading2"/>
      </w:pPr>
      <w:bookmarkStart w:id="96" w:name="_Toc38549480"/>
      <w:bookmarkStart w:id="97" w:name="_Toc38634138"/>
      <w:bookmarkStart w:id="98" w:name="_Toc39571010"/>
      <w:bookmarkStart w:id="99" w:name="_Toc39579265"/>
      <w:bookmarkStart w:id="100" w:name="_Toc39579328"/>
      <w:bookmarkStart w:id="101" w:name="_Toc39587086"/>
      <w:bookmarkStart w:id="102" w:name="_Toc39582478"/>
      <w:bookmarkStart w:id="103" w:name="_Toc40264893"/>
      <w:bookmarkStart w:id="104" w:name="_Toc40266369"/>
      <w:bookmarkStart w:id="105" w:name="_Toc40279701"/>
      <w:bookmarkStart w:id="106" w:name="_Toc40282003"/>
      <w:bookmarkStart w:id="107" w:name="_Toc40282164"/>
      <w:bookmarkStart w:id="108" w:name="_Toc40360495"/>
      <w:bookmarkStart w:id="109" w:name="_Toc40366885"/>
      <w:bookmarkStart w:id="110" w:name="_Toc40368217"/>
      <w:bookmarkStart w:id="111" w:name="_Toc40382824"/>
      <w:bookmarkStart w:id="112" w:name="_Toc40431025"/>
      <w:bookmarkStart w:id="113" w:name="_Toc40432963"/>
      <w:bookmarkStart w:id="114" w:name="_Toc40447648"/>
      <w:bookmarkStart w:id="115" w:name="_Toc40441177"/>
      <w:bookmarkStart w:id="116" w:name="_Toc40448513"/>
      <w:bookmarkStart w:id="117" w:name="_Toc40449940"/>
      <w:bookmarkStart w:id="118" w:name="_Toc40968285"/>
      <w:bookmarkStart w:id="119" w:name="_Toc41051007"/>
      <w:bookmarkStart w:id="120" w:name="_Toc41046007"/>
      <w:bookmarkStart w:id="121" w:name="_Toc41053465"/>
      <w:bookmarkStart w:id="122" w:name="_Toc44592636"/>
      <w:bookmarkStart w:id="123" w:name="_Toc44596148"/>
      <w:bookmarkStart w:id="124" w:name="_Toc44604543"/>
      <w:bookmarkStart w:id="125" w:name="_Toc54169692"/>
      <w:bookmarkStart w:id="126" w:name="_Toc56089981"/>
      <w:r>
        <w:t>2.1</w:t>
      </w:r>
      <w:r w:rsidR="00D91A61">
        <w:tab/>
      </w:r>
      <w:r>
        <w:t>Objectives for the food technology assessment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D409AC0" w14:textId="4AAC65CD" w:rsidR="004A26DB" w:rsidRDefault="00246275" w:rsidP="00B508EE">
      <w:pPr>
        <w:rPr>
          <w:lang w:bidi="ar-SA"/>
        </w:rPr>
      </w:pPr>
      <w:r>
        <w:rPr>
          <w:lang w:bidi="ar-SA"/>
        </w:rPr>
        <w:t>To determine whether rapeseed protein</w:t>
      </w:r>
      <w:r w:rsidR="00324BB5">
        <w:rPr>
          <w:lang w:bidi="ar-SA"/>
        </w:rPr>
        <w:t xml:space="preserve"> isolate</w:t>
      </w:r>
      <w:r w:rsidR="00174432">
        <w:rPr>
          <w:lang w:bidi="ar-SA"/>
        </w:rPr>
        <w:t xml:space="preserve"> </w:t>
      </w:r>
      <w:r>
        <w:rPr>
          <w:lang w:bidi="ar-SA"/>
        </w:rPr>
        <w:t>functions as a</w:t>
      </w:r>
      <w:r w:rsidR="00F10E65">
        <w:rPr>
          <w:lang w:bidi="ar-SA"/>
        </w:rPr>
        <w:t xml:space="preserve"> </w:t>
      </w:r>
      <w:r w:rsidR="003D2328" w:rsidRPr="003D2328">
        <w:rPr>
          <w:lang w:bidi="ar-SA"/>
        </w:rPr>
        <w:t>replacement</w:t>
      </w:r>
      <w:r w:rsidR="001D640A">
        <w:rPr>
          <w:lang w:bidi="ar-SA"/>
        </w:rPr>
        <w:t xml:space="preserve"> </w:t>
      </w:r>
      <w:r>
        <w:rPr>
          <w:lang w:bidi="ar-SA"/>
        </w:rPr>
        <w:t>protein</w:t>
      </w:r>
      <w:r w:rsidR="00857D36">
        <w:rPr>
          <w:lang w:bidi="ar-SA"/>
        </w:rPr>
        <w:t xml:space="preserve"> source</w:t>
      </w:r>
      <w:r w:rsidR="00297406">
        <w:rPr>
          <w:lang w:bidi="ar-SA"/>
        </w:rPr>
        <w:t>, including for use in new product development</w:t>
      </w:r>
      <w:r w:rsidR="00857D36">
        <w:rPr>
          <w:lang w:bidi="ar-SA"/>
        </w:rPr>
        <w:t xml:space="preserve"> </w:t>
      </w:r>
      <w:r w:rsidR="00EB43E3">
        <w:rPr>
          <w:lang w:bidi="ar-SA"/>
        </w:rPr>
        <w:t xml:space="preserve">and ingredient </w:t>
      </w:r>
      <w:r w:rsidR="00857D36">
        <w:rPr>
          <w:lang w:bidi="ar-SA"/>
        </w:rPr>
        <w:t>in the form and quantities</w:t>
      </w:r>
      <w:r>
        <w:rPr>
          <w:lang w:bidi="ar-SA"/>
        </w:rPr>
        <w:t xml:space="preserve"> proposed</w:t>
      </w:r>
      <w:r w:rsidR="00857D36">
        <w:rPr>
          <w:lang w:bidi="ar-SA"/>
        </w:rPr>
        <w:t xml:space="preserve"> for a range of food</w:t>
      </w:r>
      <w:r w:rsidR="00343F25">
        <w:rPr>
          <w:lang w:bidi="ar-SA"/>
        </w:rPr>
        <w:t>s</w:t>
      </w:r>
      <w:r w:rsidR="000958CA">
        <w:rPr>
          <w:lang w:bidi="ar-SA"/>
        </w:rPr>
        <w:t>.</w:t>
      </w:r>
    </w:p>
    <w:p w14:paraId="6C5A0FA8" w14:textId="2FB9B715" w:rsidR="004A26DB" w:rsidRDefault="002F6170" w:rsidP="00E41BD5">
      <w:pPr>
        <w:pStyle w:val="Heading2"/>
      </w:pPr>
      <w:bookmarkStart w:id="127" w:name="_Toc38549481"/>
      <w:bookmarkStart w:id="128" w:name="_Toc38634139"/>
      <w:bookmarkStart w:id="129" w:name="_Toc39571011"/>
      <w:bookmarkStart w:id="130" w:name="_Toc39579266"/>
      <w:bookmarkStart w:id="131" w:name="_Toc39579329"/>
      <w:bookmarkStart w:id="132" w:name="_Toc39587087"/>
      <w:bookmarkStart w:id="133" w:name="_Toc39582479"/>
      <w:bookmarkStart w:id="134" w:name="_Toc40264894"/>
      <w:bookmarkStart w:id="135" w:name="_Toc40266370"/>
      <w:bookmarkStart w:id="136" w:name="_Toc40279702"/>
      <w:bookmarkStart w:id="137" w:name="_Toc40282004"/>
      <w:bookmarkStart w:id="138" w:name="_Toc40282165"/>
      <w:bookmarkStart w:id="139" w:name="_Toc40360496"/>
      <w:bookmarkStart w:id="140" w:name="_Toc40366886"/>
      <w:bookmarkStart w:id="141" w:name="_Toc40368218"/>
      <w:bookmarkStart w:id="142" w:name="_Toc40382825"/>
      <w:bookmarkStart w:id="143" w:name="_Toc40431026"/>
      <w:bookmarkStart w:id="144" w:name="_Toc40432964"/>
      <w:bookmarkStart w:id="145" w:name="_Toc40447649"/>
      <w:bookmarkStart w:id="146" w:name="_Toc40441178"/>
      <w:bookmarkStart w:id="147" w:name="_Toc40448514"/>
      <w:bookmarkStart w:id="148" w:name="_Toc40449941"/>
      <w:bookmarkStart w:id="149" w:name="_Toc40968286"/>
      <w:bookmarkStart w:id="150" w:name="_Toc41051008"/>
      <w:bookmarkStart w:id="151" w:name="_Toc41046008"/>
      <w:bookmarkStart w:id="152" w:name="_Toc41053466"/>
      <w:bookmarkStart w:id="153" w:name="_Toc44592637"/>
      <w:bookmarkStart w:id="154" w:name="_Toc44596149"/>
      <w:bookmarkStart w:id="155" w:name="_Toc44604544"/>
      <w:bookmarkStart w:id="156" w:name="_Toc54169693"/>
      <w:bookmarkStart w:id="157" w:name="_Toc56089982"/>
      <w:r>
        <w:t>2.2</w:t>
      </w:r>
      <w:r w:rsidR="00D91A61">
        <w:tab/>
      </w:r>
      <w:r w:rsidR="004A26DB">
        <w:t>Chemical and physical properties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D8E4654" w14:textId="70F542F2" w:rsidR="00DD5313" w:rsidRDefault="00066D24" w:rsidP="004A26DB">
      <w:pPr>
        <w:rPr>
          <w:lang w:bidi="ar-SA"/>
        </w:rPr>
      </w:pPr>
      <w:r>
        <w:rPr>
          <w:lang w:bidi="ar-SA"/>
        </w:rPr>
        <w:t xml:space="preserve">Rapeseed protein </w:t>
      </w:r>
      <w:r w:rsidR="00324BB5">
        <w:rPr>
          <w:lang w:bidi="ar-SA"/>
        </w:rPr>
        <w:t xml:space="preserve">isolate </w:t>
      </w:r>
      <w:r w:rsidR="00781C3A">
        <w:rPr>
          <w:lang w:bidi="ar-SA"/>
        </w:rPr>
        <w:t>contains</w:t>
      </w:r>
      <w:r w:rsidR="00934F26">
        <w:rPr>
          <w:lang w:bidi="ar-SA"/>
        </w:rPr>
        <w:t xml:space="preserve"> </w:t>
      </w:r>
      <w:r w:rsidR="00934F26">
        <w:rPr>
          <w:rFonts w:cs="Arial"/>
          <w:lang w:bidi="ar-SA"/>
        </w:rPr>
        <w:t xml:space="preserve">at least </w:t>
      </w:r>
      <w:r w:rsidR="001A65E2">
        <w:rPr>
          <w:lang w:bidi="ar-SA"/>
        </w:rPr>
        <w:t>90%</w:t>
      </w:r>
      <w:r w:rsidR="00781C3A">
        <w:rPr>
          <w:lang w:bidi="ar-SA"/>
        </w:rPr>
        <w:t xml:space="preserve"> protein</w:t>
      </w:r>
      <w:r w:rsidR="00F268A8">
        <w:rPr>
          <w:lang w:bidi="ar-SA"/>
        </w:rPr>
        <w:t xml:space="preserve"> and </w:t>
      </w:r>
      <w:r w:rsidR="001A65E2">
        <w:rPr>
          <w:lang w:bidi="ar-SA"/>
        </w:rPr>
        <w:t xml:space="preserve">is </w:t>
      </w:r>
      <w:r w:rsidR="00550A97">
        <w:rPr>
          <w:lang w:bidi="ar-SA"/>
        </w:rPr>
        <w:t xml:space="preserve">derived </w:t>
      </w:r>
      <w:r w:rsidR="001A65E2">
        <w:rPr>
          <w:lang w:bidi="ar-SA"/>
        </w:rPr>
        <w:t xml:space="preserve">from rapeseed press </w:t>
      </w:r>
      <w:r w:rsidR="0009796E">
        <w:rPr>
          <w:lang w:bidi="ar-SA"/>
        </w:rPr>
        <w:t>cake, which</w:t>
      </w:r>
      <w:r w:rsidR="00550A97">
        <w:rPr>
          <w:lang w:bidi="ar-SA"/>
        </w:rPr>
        <w:t xml:space="preserve"> is retained from</w:t>
      </w:r>
      <w:r w:rsidR="001A65E2">
        <w:rPr>
          <w:lang w:bidi="ar-SA"/>
        </w:rPr>
        <w:t xml:space="preserve"> edible rapeseed oil production. </w:t>
      </w:r>
      <w:r w:rsidR="0022152D">
        <w:rPr>
          <w:lang w:bidi="ar-SA"/>
        </w:rPr>
        <w:t xml:space="preserve">The applicant’s rapeseed protein isolate is commercially known and available as CanolaPRO and is </w:t>
      </w:r>
      <w:r w:rsidR="00781C3A">
        <w:rPr>
          <w:lang w:bidi="ar-SA"/>
        </w:rPr>
        <w:t>sourced</w:t>
      </w:r>
      <w:r w:rsidR="001A65E2">
        <w:rPr>
          <w:lang w:bidi="ar-SA"/>
        </w:rPr>
        <w:t xml:space="preserve"> from </w:t>
      </w:r>
      <w:r w:rsidR="000C2738">
        <w:rPr>
          <w:lang w:bidi="ar-SA"/>
        </w:rPr>
        <w:t>the following</w:t>
      </w:r>
      <w:r w:rsidR="001A65E2">
        <w:rPr>
          <w:lang w:bidi="ar-SA"/>
        </w:rPr>
        <w:t xml:space="preserve"> </w:t>
      </w:r>
      <w:r w:rsidR="001A65E2" w:rsidRPr="00343F25">
        <w:rPr>
          <w:i/>
          <w:lang w:bidi="ar-SA"/>
        </w:rPr>
        <w:t>Brassica</w:t>
      </w:r>
      <w:r w:rsidR="001A65E2">
        <w:rPr>
          <w:lang w:bidi="ar-SA"/>
        </w:rPr>
        <w:t xml:space="preserve"> </w:t>
      </w:r>
      <w:r w:rsidR="000C2738">
        <w:rPr>
          <w:lang w:bidi="ar-SA"/>
        </w:rPr>
        <w:t>species</w:t>
      </w:r>
      <w:r w:rsidR="001C671D">
        <w:rPr>
          <w:lang w:bidi="ar-SA"/>
        </w:rPr>
        <w:t>:</w:t>
      </w:r>
      <w:r w:rsidR="001A65E2">
        <w:rPr>
          <w:lang w:bidi="ar-SA"/>
        </w:rPr>
        <w:t xml:space="preserve"> </w:t>
      </w:r>
      <w:r w:rsidR="001A65E2" w:rsidRPr="00FB3C21">
        <w:rPr>
          <w:i/>
          <w:lang w:bidi="ar-SA"/>
        </w:rPr>
        <w:t>Brassica napus, Brassica rapa</w:t>
      </w:r>
      <w:r w:rsidR="001A65E2">
        <w:rPr>
          <w:lang w:bidi="ar-SA"/>
        </w:rPr>
        <w:t xml:space="preserve"> and </w:t>
      </w:r>
      <w:r w:rsidR="00FB3C21" w:rsidRPr="00FB3C21">
        <w:rPr>
          <w:i/>
          <w:lang w:bidi="ar-SA"/>
        </w:rPr>
        <w:t>B</w:t>
      </w:r>
      <w:r w:rsidR="001A65E2" w:rsidRPr="00FB3C21">
        <w:rPr>
          <w:i/>
          <w:lang w:bidi="ar-SA"/>
        </w:rPr>
        <w:t>rassica juncea</w:t>
      </w:r>
      <w:r w:rsidR="005001A0">
        <w:rPr>
          <w:i/>
          <w:lang w:bidi="ar-SA"/>
        </w:rPr>
        <w:t xml:space="preserve">. </w:t>
      </w:r>
      <w:r w:rsidR="00E07965" w:rsidRPr="007308A9">
        <w:rPr>
          <w:lang w:bidi="ar-SA"/>
        </w:rPr>
        <w:t xml:space="preserve">Modern cultivars of these </w:t>
      </w:r>
      <w:r w:rsidR="00695AF8" w:rsidRPr="007308A9">
        <w:rPr>
          <w:i/>
          <w:lang w:bidi="ar-SA"/>
        </w:rPr>
        <w:t>Brassica</w:t>
      </w:r>
      <w:r w:rsidR="00324BB5" w:rsidRPr="007308A9">
        <w:rPr>
          <w:lang w:bidi="ar-SA"/>
        </w:rPr>
        <w:t xml:space="preserve"> </w:t>
      </w:r>
      <w:r w:rsidR="000C2738" w:rsidRPr="007308A9">
        <w:rPr>
          <w:lang w:bidi="ar-SA"/>
        </w:rPr>
        <w:t>species</w:t>
      </w:r>
      <w:r w:rsidR="00324BB5" w:rsidRPr="007308A9">
        <w:rPr>
          <w:lang w:bidi="ar-SA"/>
        </w:rPr>
        <w:t xml:space="preserve"> are low in </w:t>
      </w:r>
      <w:r w:rsidR="00934F26" w:rsidRPr="007308A9">
        <w:rPr>
          <w:lang w:bidi="ar-SA"/>
        </w:rPr>
        <w:t xml:space="preserve">the anti-nutritional </w:t>
      </w:r>
      <w:r w:rsidR="001D640A" w:rsidRPr="007308A9">
        <w:rPr>
          <w:lang w:bidi="ar-SA"/>
        </w:rPr>
        <w:t>factors</w:t>
      </w:r>
      <w:r w:rsidR="00F268A8" w:rsidRPr="007308A9">
        <w:rPr>
          <w:lang w:bidi="ar-SA"/>
        </w:rPr>
        <w:t xml:space="preserve"> </w:t>
      </w:r>
      <w:r w:rsidR="00324BB5" w:rsidRPr="007308A9">
        <w:rPr>
          <w:lang w:bidi="ar-SA"/>
        </w:rPr>
        <w:t>erucic acid and glucosinolates.</w:t>
      </w:r>
    </w:p>
    <w:p w14:paraId="60D53053" w14:textId="77777777" w:rsidR="00DD5313" w:rsidRDefault="00DD5313" w:rsidP="004A26DB">
      <w:pPr>
        <w:rPr>
          <w:lang w:bidi="ar-SA"/>
        </w:rPr>
      </w:pPr>
    </w:p>
    <w:p w14:paraId="21098012" w14:textId="66A21E46" w:rsidR="0029442B" w:rsidRDefault="00DD5313" w:rsidP="0029442B">
      <w:pPr>
        <w:rPr>
          <w:lang w:bidi="ar-SA"/>
        </w:rPr>
      </w:pPr>
      <w:r>
        <w:rPr>
          <w:lang w:bidi="ar-SA"/>
        </w:rPr>
        <w:t>The applicant</w:t>
      </w:r>
      <w:r w:rsidR="001C671D">
        <w:rPr>
          <w:lang w:bidi="ar-SA"/>
        </w:rPr>
        <w:t>’</w:t>
      </w:r>
      <w:r>
        <w:rPr>
          <w:lang w:bidi="ar-SA"/>
        </w:rPr>
        <w:t xml:space="preserve">s </w:t>
      </w:r>
      <w:r w:rsidR="001C671D">
        <w:rPr>
          <w:lang w:bidi="ar-SA"/>
        </w:rPr>
        <w:t>rapeseed</w:t>
      </w:r>
      <w:r>
        <w:rPr>
          <w:lang w:bidi="ar-SA"/>
        </w:rPr>
        <w:t xml:space="preserve"> protein</w:t>
      </w:r>
      <w:r w:rsidR="009060D2">
        <w:rPr>
          <w:lang w:bidi="ar-SA"/>
        </w:rPr>
        <w:t xml:space="preserve"> isolate</w:t>
      </w:r>
      <w:r>
        <w:rPr>
          <w:lang w:bidi="ar-SA"/>
        </w:rPr>
        <w:t xml:space="preserve"> is a </w:t>
      </w:r>
      <w:r w:rsidR="001C671D">
        <w:rPr>
          <w:lang w:bidi="ar-SA"/>
        </w:rPr>
        <w:t xml:space="preserve">tan </w:t>
      </w:r>
      <w:r>
        <w:rPr>
          <w:lang w:bidi="ar-SA"/>
        </w:rPr>
        <w:t>powder</w:t>
      </w:r>
      <w:r w:rsidR="00FB3C21">
        <w:rPr>
          <w:lang w:bidi="ar-SA"/>
        </w:rPr>
        <w:t xml:space="preserve"> </w:t>
      </w:r>
      <w:r w:rsidR="001C671D">
        <w:rPr>
          <w:lang w:bidi="ar-SA"/>
        </w:rPr>
        <w:t xml:space="preserve">that is readily soluble in water and stable at </w:t>
      </w:r>
      <w:r w:rsidR="007C14A4">
        <w:rPr>
          <w:lang w:bidi="ar-SA"/>
        </w:rPr>
        <w:t>ambient temperature</w:t>
      </w:r>
      <w:r w:rsidR="009060D2">
        <w:rPr>
          <w:lang w:bidi="ar-SA"/>
        </w:rPr>
        <w:t xml:space="preserve"> </w:t>
      </w:r>
      <w:r w:rsidR="0048012E">
        <w:rPr>
          <w:lang w:bidi="ar-SA"/>
        </w:rPr>
        <w:t>under</w:t>
      </w:r>
      <w:r w:rsidR="001C671D">
        <w:rPr>
          <w:lang w:bidi="ar-SA"/>
        </w:rPr>
        <w:t xml:space="preserve"> dry storage conditions</w:t>
      </w:r>
      <w:r w:rsidR="00746196">
        <w:rPr>
          <w:lang w:bidi="ar-SA"/>
        </w:rPr>
        <w:t xml:space="preserve"> for up to 2 years</w:t>
      </w:r>
      <w:r w:rsidR="001C671D">
        <w:rPr>
          <w:lang w:bidi="ar-SA"/>
        </w:rPr>
        <w:t xml:space="preserve">. </w:t>
      </w:r>
      <w:r w:rsidR="002F5DFB" w:rsidDel="006C3D0B">
        <w:rPr>
          <w:lang w:bidi="ar-SA"/>
        </w:rPr>
        <w:t>S</w:t>
      </w:r>
      <w:r w:rsidR="002F5DFB">
        <w:rPr>
          <w:lang w:bidi="ar-SA"/>
        </w:rPr>
        <w:t>helf life testing at 20</w:t>
      </w:r>
      <w:r w:rsidR="002F5DFB">
        <w:rPr>
          <w:rFonts w:cs="Arial"/>
          <w:lang w:bidi="ar-SA"/>
        </w:rPr>
        <w:t>°</w:t>
      </w:r>
      <w:r w:rsidR="002F5DFB">
        <w:rPr>
          <w:lang w:bidi="ar-SA"/>
        </w:rPr>
        <w:t>C and 40</w:t>
      </w:r>
      <w:r w:rsidR="002F5DFB">
        <w:rPr>
          <w:rFonts w:cs="Arial"/>
          <w:lang w:bidi="ar-SA"/>
        </w:rPr>
        <w:t>°</w:t>
      </w:r>
      <w:r w:rsidR="002F5DFB">
        <w:rPr>
          <w:lang w:bidi="ar-SA"/>
        </w:rPr>
        <w:t xml:space="preserve">C </w:t>
      </w:r>
      <w:r w:rsidR="0029442B">
        <w:rPr>
          <w:lang w:bidi="ar-SA"/>
        </w:rPr>
        <w:t xml:space="preserve">for up to 16 weeks </w:t>
      </w:r>
      <w:r w:rsidR="002F5DFB">
        <w:rPr>
          <w:lang w:bidi="ar-SA"/>
        </w:rPr>
        <w:t>showed that protein content and solubility remained constant throughout this time.</w:t>
      </w:r>
    </w:p>
    <w:p w14:paraId="54E0CB33" w14:textId="77777777" w:rsidR="002F5DFB" w:rsidRDefault="002F5DFB" w:rsidP="004A26DB">
      <w:pPr>
        <w:rPr>
          <w:lang w:bidi="ar-SA"/>
        </w:rPr>
      </w:pPr>
    </w:p>
    <w:p w14:paraId="12D5CD9D" w14:textId="2B7B3075" w:rsidR="001C671D" w:rsidRDefault="002F5DFB" w:rsidP="004A26DB">
      <w:pPr>
        <w:rPr>
          <w:lang w:bidi="ar-SA"/>
        </w:rPr>
      </w:pPr>
      <w:r>
        <w:rPr>
          <w:lang w:bidi="ar-SA"/>
        </w:rPr>
        <w:t>There are a range of colours for rapeseed protein isolate, a</w:t>
      </w:r>
      <w:r w:rsidR="002E6F6D">
        <w:rPr>
          <w:lang w:bidi="ar-SA"/>
        </w:rPr>
        <w:t xml:space="preserve"> similar rapeseed protein isolate in EU 2014/424/EU specifies a white to off white colour</w:t>
      </w:r>
      <w:r>
        <w:rPr>
          <w:lang w:bidi="ar-SA"/>
        </w:rPr>
        <w:t xml:space="preserve"> (</w:t>
      </w:r>
      <w:r w:rsidR="002E6F6D">
        <w:rPr>
          <w:lang w:bidi="ar-SA"/>
        </w:rPr>
        <w:t>EU 2014)</w:t>
      </w:r>
      <w:r>
        <w:rPr>
          <w:lang w:bidi="ar-SA"/>
        </w:rPr>
        <w:t xml:space="preserve"> while </w:t>
      </w:r>
      <w:r w:rsidR="0023016A">
        <w:rPr>
          <w:lang w:bidi="ar-SA"/>
        </w:rPr>
        <w:t xml:space="preserve">GRN 327 specifies a yellow to brown powder (US FDA 2010). </w:t>
      </w:r>
    </w:p>
    <w:p w14:paraId="45F0FE33" w14:textId="11DBC76A" w:rsidR="00311FA5" w:rsidRDefault="002F6170" w:rsidP="00614DC8">
      <w:pPr>
        <w:pStyle w:val="Heading3"/>
      </w:pPr>
      <w:bookmarkStart w:id="158" w:name="_Toc38549482"/>
      <w:bookmarkStart w:id="159" w:name="_Toc38634140"/>
      <w:bookmarkStart w:id="160" w:name="_Toc39571012"/>
      <w:bookmarkStart w:id="161" w:name="_Toc39579267"/>
      <w:bookmarkStart w:id="162" w:name="_Toc39579330"/>
      <w:bookmarkStart w:id="163" w:name="_Toc39587088"/>
      <w:bookmarkStart w:id="164" w:name="_Toc39582480"/>
      <w:bookmarkStart w:id="165" w:name="_Toc40264895"/>
      <w:bookmarkStart w:id="166" w:name="_Toc40266371"/>
      <w:bookmarkStart w:id="167" w:name="_Toc40279703"/>
      <w:bookmarkStart w:id="168" w:name="_Toc40282005"/>
      <w:bookmarkStart w:id="169" w:name="_Toc40282166"/>
      <w:bookmarkStart w:id="170" w:name="_Toc40360497"/>
      <w:bookmarkStart w:id="171" w:name="_Toc40366887"/>
      <w:bookmarkStart w:id="172" w:name="_Toc40368219"/>
      <w:bookmarkStart w:id="173" w:name="_Toc40382826"/>
      <w:bookmarkStart w:id="174" w:name="_Toc40431027"/>
      <w:bookmarkStart w:id="175" w:name="_Toc40432965"/>
      <w:bookmarkStart w:id="176" w:name="_Toc40447650"/>
      <w:bookmarkStart w:id="177" w:name="_Toc40441179"/>
      <w:bookmarkStart w:id="178" w:name="_Toc40448515"/>
      <w:bookmarkStart w:id="179" w:name="_Toc40449942"/>
      <w:bookmarkStart w:id="180" w:name="_Toc40968287"/>
      <w:bookmarkStart w:id="181" w:name="_Toc41051009"/>
      <w:bookmarkStart w:id="182" w:name="_Toc41046009"/>
      <w:bookmarkStart w:id="183" w:name="_Toc41053467"/>
      <w:bookmarkStart w:id="184" w:name="_Toc44592638"/>
      <w:bookmarkStart w:id="185" w:name="_Toc44596150"/>
      <w:bookmarkStart w:id="186" w:name="_Toc44604545"/>
      <w:bookmarkStart w:id="187" w:name="_Toc54169694"/>
      <w:bookmarkStart w:id="188" w:name="_Toc56089983"/>
      <w:r>
        <w:t>2.2.1</w:t>
      </w:r>
      <w:r w:rsidR="00D91A61">
        <w:tab/>
      </w:r>
      <w:r w:rsidR="00062BFA">
        <w:t>Composition</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19B0C8B" w14:textId="0D508697" w:rsidR="00952D0B" w:rsidRDefault="00952D0B" w:rsidP="00952D0B">
      <w:pPr>
        <w:rPr>
          <w:lang w:bidi="ar-SA"/>
        </w:rPr>
      </w:pPr>
      <w:r>
        <w:rPr>
          <w:lang w:bidi="ar-SA"/>
        </w:rPr>
        <w:t xml:space="preserve">The protein content in rapeseed protein isolate </w:t>
      </w:r>
      <w:r w:rsidR="00001F60">
        <w:rPr>
          <w:lang w:bidi="ar-SA"/>
        </w:rPr>
        <w:t xml:space="preserve">is at least 90%, with levels </w:t>
      </w:r>
      <w:r w:rsidR="00FC25B7">
        <w:rPr>
          <w:lang w:bidi="ar-SA"/>
        </w:rPr>
        <w:t xml:space="preserve">from </w:t>
      </w:r>
      <w:r w:rsidR="00590A15">
        <w:rPr>
          <w:lang w:bidi="ar-SA"/>
        </w:rPr>
        <w:t xml:space="preserve">96.3% to 99.1% </w:t>
      </w:r>
      <w:r w:rsidR="00001F60">
        <w:rPr>
          <w:lang w:bidi="ar-SA"/>
        </w:rPr>
        <w:t>for the applicant’s rapeseed protein isolate</w:t>
      </w:r>
      <w:r w:rsidR="00590A15">
        <w:rPr>
          <w:lang w:bidi="ar-SA"/>
        </w:rPr>
        <w:t>. The</w:t>
      </w:r>
      <w:r w:rsidR="00FC25B7">
        <w:rPr>
          <w:lang w:bidi="ar-SA"/>
        </w:rPr>
        <w:t xml:space="preserve"> isolate consists of</w:t>
      </w:r>
      <w:r w:rsidR="00590A15">
        <w:rPr>
          <w:lang w:bidi="ar-SA"/>
        </w:rPr>
        <w:t xml:space="preserve"> </w:t>
      </w:r>
      <w:r>
        <w:rPr>
          <w:lang w:bidi="ar-SA"/>
        </w:rPr>
        <w:t>two main proteins: cruciferin and napins. Cruciferins are globulins, the main storage protein in the seed with a molecular weight of approximately 300</w:t>
      </w:r>
      <w:r w:rsidR="00C57D5B">
        <w:rPr>
          <w:lang w:bidi="ar-SA"/>
        </w:rPr>
        <w:t xml:space="preserve"> </w:t>
      </w:r>
      <w:r>
        <w:rPr>
          <w:lang w:bidi="ar-SA"/>
        </w:rPr>
        <w:t>kDa. The napins are albumins and low molecular weight storage proteins of 14</w:t>
      </w:r>
      <w:r w:rsidR="00C57D5B">
        <w:rPr>
          <w:lang w:bidi="ar-SA"/>
        </w:rPr>
        <w:t xml:space="preserve"> </w:t>
      </w:r>
      <w:r>
        <w:rPr>
          <w:lang w:bidi="ar-SA"/>
        </w:rPr>
        <w:t>kDa. The composition of the applicant’s product, CanolaPRO</w:t>
      </w:r>
      <w:r w:rsidR="00EE3BA7">
        <w:rPr>
          <w:lang w:bidi="ar-SA"/>
        </w:rPr>
        <w:t>,</w:t>
      </w:r>
      <w:r w:rsidR="00126A3F">
        <w:rPr>
          <w:lang w:bidi="ar-SA"/>
        </w:rPr>
        <w:t xml:space="preserve"> </w:t>
      </w:r>
      <w:r w:rsidR="00297406">
        <w:rPr>
          <w:lang w:bidi="ar-SA"/>
        </w:rPr>
        <w:t>consists</w:t>
      </w:r>
      <w:r w:rsidR="00174432">
        <w:rPr>
          <w:lang w:bidi="ar-SA"/>
        </w:rPr>
        <w:t xml:space="preserve"> of</w:t>
      </w:r>
      <w:r>
        <w:rPr>
          <w:lang w:bidi="ar-SA"/>
        </w:rPr>
        <w:t xml:space="preserve"> 40-65%</w:t>
      </w:r>
      <w:r w:rsidR="004B1ADC">
        <w:rPr>
          <w:lang w:bidi="ar-SA"/>
        </w:rPr>
        <w:t xml:space="preserve"> cruciferins and 35-60% napins.</w:t>
      </w:r>
    </w:p>
    <w:p w14:paraId="733E1EB9" w14:textId="77777777" w:rsidR="00952D0B" w:rsidRDefault="00952D0B" w:rsidP="00E750A5">
      <w:pPr>
        <w:rPr>
          <w:lang w:bidi="ar-SA"/>
        </w:rPr>
      </w:pPr>
    </w:p>
    <w:p w14:paraId="5F6D709C" w14:textId="11F3EF34" w:rsidR="006C05BF" w:rsidRDefault="008D065E" w:rsidP="00E750A5">
      <w:pPr>
        <w:rPr>
          <w:lang w:bidi="ar-SA"/>
        </w:rPr>
      </w:pPr>
      <w:r>
        <w:rPr>
          <w:lang w:bidi="ar-SA"/>
        </w:rPr>
        <w:t xml:space="preserve">The </w:t>
      </w:r>
      <w:r w:rsidR="0048012E">
        <w:rPr>
          <w:lang w:bidi="ar-SA"/>
        </w:rPr>
        <w:t>protein in rapeseed protein isolate includ</w:t>
      </w:r>
      <w:r w:rsidR="00B46A42">
        <w:rPr>
          <w:lang w:bidi="ar-SA"/>
        </w:rPr>
        <w:t>es</w:t>
      </w:r>
      <w:r w:rsidR="0048012E">
        <w:rPr>
          <w:lang w:bidi="ar-SA"/>
        </w:rPr>
        <w:t xml:space="preserve"> </w:t>
      </w:r>
      <w:r w:rsidR="002D17C7">
        <w:rPr>
          <w:lang w:bidi="ar-SA"/>
        </w:rPr>
        <w:t xml:space="preserve">all the </w:t>
      </w:r>
      <w:r w:rsidR="0048012E">
        <w:rPr>
          <w:lang w:bidi="ar-SA"/>
        </w:rPr>
        <w:t>essential amino acids</w:t>
      </w:r>
      <w:r w:rsidR="00D908C7">
        <w:rPr>
          <w:lang w:bidi="ar-SA"/>
        </w:rPr>
        <w:t xml:space="preserve">. </w:t>
      </w:r>
      <w:r w:rsidR="007872ED">
        <w:rPr>
          <w:lang w:bidi="ar-SA"/>
        </w:rPr>
        <w:t xml:space="preserve">Refer </w:t>
      </w:r>
      <w:r w:rsidR="007872ED" w:rsidRPr="00690D18">
        <w:rPr>
          <w:lang w:bidi="ar-SA"/>
        </w:rPr>
        <w:t xml:space="preserve">to </w:t>
      </w:r>
      <w:r w:rsidR="00563668" w:rsidRPr="00690D18">
        <w:rPr>
          <w:lang w:bidi="ar-SA"/>
        </w:rPr>
        <w:t xml:space="preserve">section </w:t>
      </w:r>
      <w:r w:rsidR="00690D18" w:rsidRPr="00690D18">
        <w:rPr>
          <w:lang w:bidi="ar-SA"/>
        </w:rPr>
        <w:t>4</w:t>
      </w:r>
      <w:r w:rsidR="00563668" w:rsidRPr="00690D18">
        <w:rPr>
          <w:lang w:bidi="ar-SA"/>
        </w:rPr>
        <w:t>.3</w:t>
      </w:r>
      <w:r w:rsidR="007872ED">
        <w:rPr>
          <w:lang w:bidi="ar-SA"/>
        </w:rPr>
        <w:t xml:space="preserve"> </w:t>
      </w:r>
      <w:r w:rsidR="00DD01E2">
        <w:rPr>
          <w:lang w:bidi="ar-SA"/>
        </w:rPr>
        <w:t xml:space="preserve">and table 4.1 </w:t>
      </w:r>
      <w:r w:rsidR="007872ED">
        <w:rPr>
          <w:lang w:bidi="ar-SA"/>
        </w:rPr>
        <w:t xml:space="preserve">for </w:t>
      </w:r>
      <w:r w:rsidR="00063AAC">
        <w:rPr>
          <w:lang w:bidi="ar-SA"/>
        </w:rPr>
        <w:t xml:space="preserve">the nutrition risk assessment and </w:t>
      </w:r>
      <w:r w:rsidR="00B25B15">
        <w:rPr>
          <w:lang w:bidi="ar-SA"/>
        </w:rPr>
        <w:t>detail</w:t>
      </w:r>
      <w:r w:rsidR="00174432">
        <w:rPr>
          <w:lang w:bidi="ar-SA"/>
        </w:rPr>
        <w:t xml:space="preserve">s on the </w:t>
      </w:r>
      <w:r w:rsidR="00563668">
        <w:rPr>
          <w:lang w:bidi="ar-SA"/>
        </w:rPr>
        <w:t>amino acid profile</w:t>
      </w:r>
      <w:r w:rsidR="007872ED">
        <w:rPr>
          <w:lang w:bidi="ar-SA"/>
        </w:rPr>
        <w:t>.</w:t>
      </w:r>
    </w:p>
    <w:p w14:paraId="03C358CA" w14:textId="68444CA0" w:rsidR="00590A15" w:rsidRDefault="00590A15" w:rsidP="00E750A5">
      <w:pPr>
        <w:rPr>
          <w:lang w:bidi="ar-SA"/>
        </w:rPr>
      </w:pPr>
    </w:p>
    <w:p w14:paraId="1F3C8E63" w14:textId="49D8DF65" w:rsidR="00590A15" w:rsidRDefault="00590A15" w:rsidP="00E750A5">
      <w:pPr>
        <w:rPr>
          <w:lang w:bidi="ar-SA"/>
        </w:rPr>
      </w:pPr>
      <w:r>
        <w:rPr>
          <w:lang w:bidi="ar-SA"/>
        </w:rPr>
        <w:t xml:space="preserve">The </w:t>
      </w:r>
      <w:r w:rsidR="00001F60">
        <w:rPr>
          <w:lang w:bidi="ar-SA"/>
        </w:rPr>
        <w:t xml:space="preserve">application included </w:t>
      </w:r>
      <w:r w:rsidR="008C5F1A">
        <w:rPr>
          <w:lang w:bidi="ar-SA"/>
        </w:rPr>
        <w:t>the analysis for</w:t>
      </w:r>
      <w:r w:rsidR="00001F60">
        <w:rPr>
          <w:lang w:bidi="ar-SA"/>
        </w:rPr>
        <w:t xml:space="preserve"> </w:t>
      </w:r>
      <w:r w:rsidR="008C5F1A">
        <w:rPr>
          <w:lang w:bidi="ar-SA"/>
        </w:rPr>
        <w:t>five</w:t>
      </w:r>
      <w:r w:rsidR="00001F60">
        <w:rPr>
          <w:lang w:bidi="ar-SA"/>
        </w:rPr>
        <w:t xml:space="preserve"> </w:t>
      </w:r>
      <w:r w:rsidR="008C5F1A">
        <w:rPr>
          <w:lang w:bidi="ar-SA"/>
        </w:rPr>
        <w:t>batches of</w:t>
      </w:r>
      <w:r w:rsidR="00001F60">
        <w:rPr>
          <w:lang w:bidi="ar-SA"/>
        </w:rPr>
        <w:t xml:space="preserve"> rapeseed protein isolate. The</w:t>
      </w:r>
      <w:r w:rsidR="008C5F1A">
        <w:rPr>
          <w:lang w:bidi="ar-SA"/>
        </w:rPr>
        <w:t>re is no</w:t>
      </w:r>
      <w:r w:rsidR="00001F60">
        <w:rPr>
          <w:lang w:bidi="ar-SA"/>
        </w:rPr>
        <w:t xml:space="preserve"> </w:t>
      </w:r>
      <w:r>
        <w:rPr>
          <w:lang w:bidi="ar-SA"/>
        </w:rPr>
        <w:t>carbohydrate and the fibre content is below limits of detection. The moisture content ranges from 2.3 to 4.3</w:t>
      </w:r>
      <w:r w:rsidR="00001F60">
        <w:rPr>
          <w:lang w:bidi="ar-SA"/>
        </w:rPr>
        <w:t xml:space="preserve"> %</w:t>
      </w:r>
      <w:r w:rsidR="008C5F1A">
        <w:rPr>
          <w:lang w:bidi="ar-SA"/>
        </w:rPr>
        <w:t xml:space="preserve"> w/w</w:t>
      </w:r>
      <w:r w:rsidR="00001F60">
        <w:rPr>
          <w:lang w:bidi="ar-SA"/>
        </w:rPr>
        <w:t xml:space="preserve">. Ash accounts for the remaining composition </w:t>
      </w:r>
      <w:r w:rsidR="008B582D">
        <w:rPr>
          <w:lang w:bidi="ar-SA"/>
        </w:rPr>
        <w:t xml:space="preserve">with levels ranging </w:t>
      </w:r>
      <w:r w:rsidR="00001F60">
        <w:rPr>
          <w:lang w:bidi="ar-SA"/>
        </w:rPr>
        <w:t>from 0.06 to 0.71 % w/w.</w:t>
      </w:r>
    </w:p>
    <w:p w14:paraId="6464A8E2" w14:textId="52545E1C" w:rsidR="00062BFA" w:rsidRDefault="00A36783" w:rsidP="00062BFA">
      <w:pPr>
        <w:pStyle w:val="Heading4"/>
      </w:pPr>
      <w:r>
        <w:t>2.2.1.</w:t>
      </w:r>
      <w:r w:rsidR="00590A15">
        <w:t>1</w:t>
      </w:r>
      <w:r w:rsidR="000D0D59" w:rsidRPr="005021AA">
        <w:tab/>
      </w:r>
      <w:r w:rsidR="00062BFA">
        <w:t>Impurity profile</w:t>
      </w:r>
    </w:p>
    <w:p w14:paraId="0B1E68F8" w14:textId="169E33A2" w:rsidR="00062BFA" w:rsidRDefault="00062BFA" w:rsidP="00062BFA">
      <w:pPr>
        <w:pStyle w:val="Heading5"/>
      </w:pPr>
      <w:r>
        <w:t xml:space="preserve">Anti-nutritional </w:t>
      </w:r>
      <w:r w:rsidR="001D640A">
        <w:t>factors</w:t>
      </w:r>
    </w:p>
    <w:p w14:paraId="0BFC4303" w14:textId="06A981EF" w:rsidR="00A343CE" w:rsidRDefault="0025648A" w:rsidP="00A343CE">
      <w:pPr>
        <w:rPr>
          <w:lang w:bidi="ar-SA"/>
        </w:rPr>
      </w:pPr>
      <w:r>
        <w:t>R</w:t>
      </w:r>
      <w:r w:rsidR="000F31F9">
        <w:t xml:space="preserve">apeseed </w:t>
      </w:r>
      <w:r w:rsidR="00973350">
        <w:t xml:space="preserve">sourced from </w:t>
      </w:r>
      <w:r w:rsidR="00973350" w:rsidRPr="00343F25">
        <w:rPr>
          <w:i/>
        </w:rPr>
        <w:t>Brassica</w:t>
      </w:r>
      <w:r w:rsidR="00973350" w:rsidRPr="00973350">
        <w:rPr>
          <w:i/>
        </w:rPr>
        <w:t xml:space="preserve"> </w:t>
      </w:r>
      <w:r w:rsidR="00EB753B">
        <w:t>species</w:t>
      </w:r>
      <w:r>
        <w:t xml:space="preserve"> contains </w:t>
      </w:r>
      <w:r w:rsidR="00821A0B">
        <w:t xml:space="preserve">anti-nutritional </w:t>
      </w:r>
      <w:r w:rsidR="00EB3A94">
        <w:t>facto</w:t>
      </w:r>
      <w:r w:rsidR="001D640A">
        <w:t>rs</w:t>
      </w:r>
      <w:r w:rsidR="00973350">
        <w:t xml:space="preserve">, specifically erucic acid, glucosinolates, </w:t>
      </w:r>
      <w:r w:rsidR="00DD01E2">
        <w:t>phytic acid</w:t>
      </w:r>
      <w:r w:rsidR="00973350">
        <w:t xml:space="preserve"> and phenolic compounds. The applicant</w:t>
      </w:r>
      <w:r w:rsidR="0007569A">
        <w:t>'</w:t>
      </w:r>
      <w:r w:rsidR="00973350">
        <w:t xml:space="preserve">s product </w:t>
      </w:r>
      <w:r w:rsidR="00973350">
        <w:rPr>
          <w:lang w:bidi="ar-SA"/>
        </w:rPr>
        <w:t xml:space="preserve">CanolaPRO </w:t>
      </w:r>
      <w:r w:rsidR="00973350" w:rsidRPr="007308A9">
        <w:rPr>
          <w:lang w:bidi="ar-SA"/>
        </w:rPr>
        <w:t>is sourced from</w:t>
      </w:r>
      <w:r w:rsidR="00C43EEF" w:rsidRPr="007308A9">
        <w:rPr>
          <w:lang w:bidi="ar-SA"/>
        </w:rPr>
        <w:t xml:space="preserve"> modern cultivars of these</w:t>
      </w:r>
      <w:r w:rsidR="00973350" w:rsidRPr="007308A9">
        <w:rPr>
          <w:lang w:bidi="ar-SA"/>
        </w:rPr>
        <w:t xml:space="preserve"> </w:t>
      </w:r>
      <w:r w:rsidR="00973350" w:rsidRPr="007308A9">
        <w:rPr>
          <w:i/>
          <w:lang w:bidi="ar-SA"/>
        </w:rPr>
        <w:t xml:space="preserve">Brassica </w:t>
      </w:r>
      <w:r w:rsidR="00D46A49" w:rsidRPr="007308A9">
        <w:rPr>
          <w:lang w:bidi="ar-SA"/>
        </w:rPr>
        <w:t>species</w:t>
      </w:r>
      <w:r w:rsidR="00973350" w:rsidRPr="007308A9">
        <w:rPr>
          <w:lang w:bidi="ar-SA"/>
        </w:rPr>
        <w:t xml:space="preserve"> that are low in erucic acid and glucosinolates</w:t>
      </w:r>
      <w:r w:rsidR="007D142C" w:rsidRPr="007308A9">
        <w:rPr>
          <w:lang w:bidi="ar-SA"/>
        </w:rPr>
        <w:t>. T</w:t>
      </w:r>
      <w:r w:rsidR="0040569C" w:rsidRPr="007308A9">
        <w:rPr>
          <w:lang w:bidi="ar-SA"/>
        </w:rPr>
        <w:t>he</w:t>
      </w:r>
      <w:r w:rsidR="0040569C">
        <w:rPr>
          <w:lang w:bidi="ar-SA"/>
        </w:rPr>
        <w:t xml:space="preserve"> manufacturing steps help</w:t>
      </w:r>
      <w:r w:rsidR="004B3B0C">
        <w:rPr>
          <w:lang w:bidi="ar-SA"/>
        </w:rPr>
        <w:t xml:space="preserve"> </w:t>
      </w:r>
      <w:r w:rsidR="00DD01E2">
        <w:rPr>
          <w:lang w:bidi="ar-SA"/>
        </w:rPr>
        <w:t>reduce</w:t>
      </w:r>
      <w:r w:rsidR="004B3B0C">
        <w:rPr>
          <w:lang w:bidi="ar-SA"/>
        </w:rPr>
        <w:t xml:space="preserve"> these further</w:t>
      </w:r>
      <w:r w:rsidR="00973350">
        <w:rPr>
          <w:lang w:bidi="ar-SA"/>
        </w:rPr>
        <w:t xml:space="preserve">. </w:t>
      </w:r>
      <w:r w:rsidR="00A343CE" w:rsidRPr="008F5216">
        <w:rPr>
          <w:lang w:bidi="ar-SA"/>
        </w:rPr>
        <w:t xml:space="preserve">Analysis of five </w:t>
      </w:r>
      <w:r w:rsidR="00A343CE">
        <w:rPr>
          <w:lang w:bidi="ar-SA"/>
        </w:rPr>
        <w:t xml:space="preserve">batches of </w:t>
      </w:r>
      <w:r w:rsidR="00A343CE" w:rsidRPr="008F5216">
        <w:rPr>
          <w:lang w:bidi="ar-SA"/>
        </w:rPr>
        <w:t>CanolaPRO s</w:t>
      </w:r>
      <w:r w:rsidR="00A343CE">
        <w:rPr>
          <w:lang w:bidi="ar-SA"/>
        </w:rPr>
        <w:t xml:space="preserve">howed that in all five batches glucosinolates were at levels of </w:t>
      </w:r>
      <w:r w:rsidR="00A343CE" w:rsidRPr="008F5216">
        <w:rPr>
          <w:lang w:bidi="ar-SA"/>
        </w:rPr>
        <w:t>&lt; 0.</w:t>
      </w:r>
      <w:r w:rsidR="00A343CE">
        <w:rPr>
          <w:lang w:bidi="ar-SA"/>
        </w:rPr>
        <w:t xml:space="preserve">1 </w:t>
      </w:r>
      <w:r w:rsidR="00A343CE">
        <w:rPr>
          <w:rFonts w:cs="Arial"/>
          <w:lang w:bidi="ar-SA"/>
        </w:rPr>
        <w:t>µ</w:t>
      </w:r>
      <w:r w:rsidR="00A343CE">
        <w:rPr>
          <w:lang w:bidi="ar-SA"/>
        </w:rPr>
        <w:t xml:space="preserve">mol/g, </w:t>
      </w:r>
      <w:r w:rsidR="00A343CE" w:rsidRPr="008F5216">
        <w:rPr>
          <w:lang w:bidi="ar-SA"/>
        </w:rPr>
        <w:t>and below the level of quantification.</w:t>
      </w:r>
      <w:r w:rsidR="00A343CE">
        <w:rPr>
          <w:lang w:bidi="ar-SA"/>
        </w:rPr>
        <w:t xml:space="preserve"> Analysis of five batches of the applicant’s rapeseed protein isolate showed erucic acid levels of &lt;0.005% w/w.</w:t>
      </w:r>
    </w:p>
    <w:p w14:paraId="657A8DE5" w14:textId="77777777" w:rsidR="00A343CE" w:rsidRDefault="00A343CE" w:rsidP="005021AA">
      <w:pPr>
        <w:pStyle w:val="ListParagraph"/>
        <w:ind w:left="0"/>
        <w:rPr>
          <w:lang w:bidi="ar-SA"/>
        </w:rPr>
      </w:pPr>
    </w:p>
    <w:p w14:paraId="660CF726" w14:textId="714BB36D" w:rsidR="00A915C7" w:rsidRPr="007308A9" w:rsidRDefault="006D206D" w:rsidP="005021AA">
      <w:pPr>
        <w:pStyle w:val="ListParagraph"/>
        <w:ind w:left="0"/>
      </w:pPr>
      <w:r>
        <w:rPr>
          <w:lang w:bidi="ar-SA"/>
        </w:rPr>
        <w:t xml:space="preserve">The </w:t>
      </w:r>
      <w:r w:rsidR="009843A4">
        <w:rPr>
          <w:lang w:bidi="ar-SA"/>
        </w:rPr>
        <w:t>I</w:t>
      </w:r>
      <w:r w:rsidR="00DD7CBB">
        <w:rPr>
          <w:lang w:bidi="ar-SA"/>
        </w:rPr>
        <w:t xml:space="preserve">nternational </w:t>
      </w:r>
      <w:r>
        <w:rPr>
          <w:lang w:bidi="ar-SA"/>
        </w:rPr>
        <w:t xml:space="preserve">Codex </w:t>
      </w:r>
      <w:r w:rsidR="00003459">
        <w:rPr>
          <w:lang w:bidi="ar-SA"/>
        </w:rPr>
        <w:t>S</w:t>
      </w:r>
      <w:r>
        <w:rPr>
          <w:lang w:bidi="ar-SA"/>
        </w:rPr>
        <w:t xml:space="preserve">tandard 210-1999 for </w:t>
      </w:r>
      <w:r w:rsidR="00003459">
        <w:rPr>
          <w:lang w:bidi="ar-SA"/>
        </w:rPr>
        <w:t>N</w:t>
      </w:r>
      <w:r>
        <w:rPr>
          <w:lang w:bidi="ar-SA"/>
        </w:rPr>
        <w:t xml:space="preserve">amed </w:t>
      </w:r>
      <w:r w:rsidR="00003459">
        <w:rPr>
          <w:lang w:bidi="ar-SA"/>
        </w:rPr>
        <w:t>V</w:t>
      </w:r>
      <w:r>
        <w:rPr>
          <w:lang w:bidi="ar-SA"/>
        </w:rPr>
        <w:t xml:space="preserve">egetable </w:t>
      </w:r>
      <w:r w:rsidR="00003459">
        <w:rPr>
          <w:lang w:bidi="ar-SA"/>
        </w:rPr>
        <w:t>O</w:t>
      </w:r>
      <w:r>
        <w:rPr>
          <w:lang w:bidi="ar-SA"/>
        </w:rPr>
        <w:t xml:space="preserve">ils </w:t>
      </w:r>
      <w:r w:rsidR="006C20AD">
        <w:rPr>
          <w:lang w:bidi="ar-SA"/>
        </w:rPr>
        <w:t>includes a definition for</w:t>
      </w:r>
      <w:r w:rsidR="0007569A">
        <w:rPr>
          <w:lang w:bidi="ar-SA"/>
        </w:rPr>
        <w:t xml:space="preserve"> rapeseed oil, including for </w:t>
      </w:r>
      <w:r w:rsidR="006C20AD">
        <w:rPr>
          <w:lang w:bidi="ar-SA"/>
        </w:rPr>
        <w:t>low</w:t>
      </w:r>
      <w:r w:rsidR="00DD7CBB">
        <w:rPr>
          <w:lang w:bidi="ar-SA"/>
        </w:rPr>
        <w:t>-</w:t>
      </w:r>
      <w:r w:rsidR="006C20AD">
        <w:rPr>
          <w:lang w:bidi="ar-SA"/>
        </w:rPr>
        <w:t xml:space="preserve">erucic acid rapeseed oil </w:t>
      </w:r>
      <w:r w:rsidR="00DD01E2">
        <w:rPr>
          <w:lang w:bidi="ar-SA"/>
        </w:rPr>
        <w:t xml:space="preserve">which must </w:t>
      </w:r>
      <w:r w:rsidR="006C20AD">
        <w:rPr>
          <w:lang w:bidi="ar-SA"/>
        </w:rPr>
        <w:t>not contain more</w:t>
      </w:r>
      <w:r>
        <w:rPr>
          <w:lang w:bidi="ar-SA"/>
        </w:rPr>
        <w:t xml:space="preserve"> than 2% erucic acid</w:t>
      </w:r>
      <w:r w:rsidR="006C20AD">
        <w:rPr>
          <w:lang w:bidi="ar-SA"/>
        </w:rPr>
        <w:t xml:space="preserve"> (as % of fatty acids)</w:t>
      </w:r>
      <w:r w:rsidR="00EB43E3">
        <w:rPr>
          <w:lang w:bidi="ar-SA"/>
        </w:rPr>
        <w:t xml:space="preserve"> (Codex, 2019)</w:t>
      </w:r>
      <w:r>
        <w:rPr>
          <w:lang w:bidi="ar-SA"/>
        </w:rPr>
        <w:t xml:space="preserve">. </w:t>
      </w:r>
      <w:r w:rsidR="00D46A49">
        <w:rPr>
          <w:lang w:bidi="ar-SA"/>
        </w:rPr>
        <w:t xml:space="preserve">The table to subsection S19-6(2) in the Code also includes a limit for erucic acid </w:t>
      </w:r>
      <w:r w:rsidR="00343F25">
        <w:rPr>
          <w:lang w:bidi="ar-SA"/>
        </w:rPr>
        <w:t>of 20,000 mg/kg (i.e. 2%)</w:t>
      </w:r>
      <w:r w:rsidR="00D46A49">
        <w:rPr>
          <w:lang w:bidi="ar-SA"/>
        </w:rPr>
        <w:t xml:space="preserve"> in edible oils</w:t>
      </w:r>
      <w:r w:rsidR="00572E2E">
        <w:rPr>
          <w:lang w:bidi="ar-SA"/>
        </w:rPr>
        <w:t>,</w:t>
      </w:r>
      <w:r w:rsidR="00D46A49">
        <w:rPr>
          <w:lang w:bidi="ar-SA"/>
        </w:rPr>
        <w:t xml:space="preserve"> which could</w:t>
      </w:r>
      <w:r w:rsidR="00F53E96">
        <w:rPr>
          <w:lang w:bidi="ar-SA"/>
        </w:rPr>
        <w:t xml:space="preserve"> include rapeseed oil</w:t>
      </w:r>
      <w:r w:rsidR="00343F25">
        <w:rPr>
          <w:lang w:bidi="ar-SA"/>
        </w:rPr>
        <w:t>.</w:t>
      </w:r>
      <w:r w:rsidR="00D46A49">
        <w:rPr>
          <w:lang w:bidi="ar-SA"/>
        </w:rPr>
        <w:t xml:space="preserve"> </w:t>
      </w:r>
      <w:r w:rsidR="008774FD">
        <w:rPr>
          <w:lang w:bidi="ar-SA"/>
        </w:rPr>
        <w:t>R</w:t>
      </w:r>
      <w:r>
        <w:rPr>
          <w:lang w:bidi="ar-SA"/>
        </w:rPr>
        <w:t xml:space="preserve">apeseed protein isolate is </w:t>
      </w:r>
      <w:r w:rsidR="00967381" w:rsidRPr="00967381">
        <w:rPr>
          <w:lang w:bidi="ar-SA"/>
        </w:rPr>
        <w:t>extracted from the “de-fatted” c</w:t>
      </w:r>
      <w:r w:rsidR="00572E2E">
        <w:rPr>
          <w:lang w:bidi="ar-SA"/>
        </w:rPr>
        <w:t xml:space="preserve">ake/meal that remains after </w:t>
      </w:r>
      <w:r w:rsidR="00967381" w:rsidRPr="00967381">
        <w:rPr>
          <w:lang w:bidi="ar-SA"/>
        </w:rPr>
        <w:t xml:space="preserve">pressing the rapeseed to remove the oil, </w:t>
      </w:r>
      <w:r w:rsidR="008774FD">
        <w:rPr>
          <w:lang w:bidi="ar-SA"/>
        </w:rPr>
        <w:t xml:space="preserve">so </w:t>
      </w:r>
      <w:r w:rsidR="00AC3990">
        <w:rPr>
          <w:lang w:bidi="ar-SA"/>
        </w:rPr>
        <w:t>any</w:t>
      </w:r>
      <w:r w:rsidR="00967381">
        <w:rPr>
          <w:lang w:bidi="ar-SA"/>
        </w:rPr>
        <w:t xml:space="preserve"> </w:t>
      </w:r>
      <w:r w:rsidR="008774FD">
        <w:rPr>
          <w:lang w:bidi="ar-SA"/>
        </w:rPr>
        <w:t xml:space="preserve">erucic acid </w:t>
      </w:r>
      <w:r w:rsidR="00AC3990">
        <w:rPr>
          <w:lang w:bidi="ar-SA"/>
        </w:rPr>
        <w:t xml:space="preserve">that </w:t>
      </w:r>
      <w:r w:rsidR="00572E2E">
        <w:rPr>
          <w:lang w:bidi="ar-SA"/>
        </w:rPr>
        <w:t xml:space="preserve">remains in the “de-fatted” cake/meal will be </w:t>
      </w:r>
      <w:r w:rsidR="008774FD">
        <w:rPr>
          <w:lang w:bidi="ar-SA"/>
        </w:rPr>
        <w:t xml:space="preserve">reduced further </w:t>
      </w:r>
      <w:r w:rsidR="002F6170">
        <w:rPr>
          <w:lang w:bidi="ar-SA"/>
        </w:rPr>
        <w:t xml:space="preserve">during the </w:t>
      </w:r>
      <w:r w:rsidR="00572E2E" w:rsidRPr="00572E2E">
        <w:rPr>
          <w:lang w:bidi="ar-SA"/>
        </w:rPr>
        <w:t xml:space="preserve">subsequent </w:t>
      </w:r>
      <w:r w:rsidR="00AC3990">
        <w:rPr>
          <w:lang w:bidi="ar-SA"/>
        </w:rPr>
        <w:t>manufacturing steps</w:t>
      </w:r>
      <w:r w:rsidR="00572E2E" w:rsidRPr="00572E2E">
        <w:rPr>
          <w:lang w:bidi="ar-SA"/>
        </w:rPr>
        <w:t xml:space="preserve"> and isolation of the protein</w:t>
      </w:r>
      <w:r w:rsidR="002F6170">
        <w:rPr>
          <w:lang w:bidi="ar-SA"/>
        </w:rPr>
        <w:t xml:space="preserve">. </w:t>
      </w:r>
      <w:r w:rsidR="00FC25B7">
        <w:rPr>
          <w:lang w:bidi="ar-SA"/>
        </w:rPr>
        <w:t>These levels</w:t>
      </w:r>
      <w:r w:rsidR="00572E2E">
        <w:rPr>
          <w:lang w:bidi="ar-SA"/>
        </w:rPr>
        <w:t xml:space="preserve"> </w:t>
      </w:r>
      <w:r w:rsidR="002F6170">
        <w:rPr>
          <w:lang w:bidi="ar-SA"/>
        </w:rPr>
        <w:t xml:space="preserve">are significantly </w:t>
      </w:r>
      <w:r w:rsidR="008774FD">
        <w:rPr>
          <w:lang w:bidi="ar-SA"/>
        </w:rPr>
        <w:t xml:space="preserve">lower than the </w:t>
      </w:r>
      <w:r w:rsidR="002F6170">
        <w:rPr>
          <w:lang w:bidi="ar-SA"/>
        </w:rPr>
        <w:t xml:space="preserve">2% erucic acid in the </w:t>
      </w:r>
      <w:r w:rsidR="008774FD">
        <w:rPr>
          <w:lang w:bidi="ar-SA"/>
        </w:rPr>
        <w:t xml:space="preserve">Codex </w:t>
      </w:r>
      <w:r w:rsidR="00AC3990">
        <w:rPr>
          <w:lang w:bidi="ar-SA"/>
        </w:rPr>
        <w:t>S</w:t>
      </w:r>
      <w:r w:rsidR="008774FD">
        <w:rPr>
          <w:lang w:bidi="ar-SA"/>
        </w:rPr>
        <w:t>tandard 210-1999</w:t>
      </w:r>
      <w:r w:rsidR="00D46A49">
        <w:rPr>
          <w:lang w:bidi="ar-SA"/>
        </w:rPr>
        <w:t xml:space="preserve"> </w:t>
      </w:r>
      <w:r w:rsidR="00FC25B7">
        <w:rPr>
          <w:lang w:bidi="ar-SA"/>
        </w:rPr>
        <w:t xml:space="preserve">for vegetable oils </w:t>
      </w:r>
      <w:r w:rsidR="00D46A49">
        <w:rPr>
          <w:lang w:bidi="ar-SA"/>
        </w:rPr>
        <w:t>and in the Code</w:t>
      </w:r>
      <w:r w:rsidR="008774FD">
        <w:rPr>
          <w:lang w:bidi="ar-SA"/>
        </w:rPr>
        <w:t xml:space="preserve">. </w:t>
      </w:r>
      <w:r w:rsidR="00444B2A">
        <w:t xml:space="preserve">In a </w:t>
      </w:r>
      <w:r w:rsidR="00DD7CBB">
        <w:t xml:space="preserve">research </w:t>
      </w:r>
      <w:r w:rsidR="00444B2A">
        <w:t xml:space="preserve">paper </w:t>
      </w:r>
      <w:r w:rsidR="00DD7CBB">
        <w:t xml:space="preserve">that looked at </w:t>
      </w:r>
      <w:r w:rsidR="00444B2A">
        <w:t xml:space="preserve">the effect of processing </w:t>
      </w:r>
      <w:r w:rsidR="00DD7CBB">
        <w:t xml:space="preserve">on </w:t>
      </w:r>
      <w:r w:rsidR="00444B2A">
        <w:t>anti</w:t>
      </w:r>
      <w:r w:rsidR="00EB43E3">
        <w:t>-</w:t>
      </w:r>
      <w:r w:rsidR="00F50659">
        <w:t>nutritional factors</w:t>
      </w:r>
      <w:r w:rsidR="00444B2A">
        <w:t xml:space="preserve"> in rapeseed protein</w:t>
      </w:r>
      <w:r w:rsidR="00DD7CBB">
        <w:t xml:space="preserve"> it was shown that </w:t>
      </w:r>
      <w:r w:rsidR="00E92C45">
        <w:t xml:space="preserve">up to 95% of glucosinolates, 92% </w:t>
      </w:r>
      <w:r w:rsidR="004B3B0C">
        <w:t xml:space="preserve">of </w:t>
      </w:r>
      <w:r w:rsidR="00E92C45">
        <w:t xml:space="preserve">phytic acid and 100% </w:t>
      </w:r>
      <w:r w:rsidR="004B3B0C">
        <w:t xml:space="preserve">of </w:t>
      </w:r>
      <w:r w:rsidR="00E92C45">
        <w:t xml:space="preserve">tannic acid </w:t>
      </w:r>
      <w:r w:rsidR="00DD7CBB">
        <w:t xml:space="preserve">can be removed </w:t>
      </w:r>
      <w:r w:rsidR="00AA500C">
        <w:t xml:space="preserve">(Mansour et al. </w:t>
      </w:r>
      <w:r w:rsidR="00E92C45" w:rsidRPr="004B3B0C">
        <w:t>1993).</w:t>
      </w:r>
      <w:r w:rsidR="000B7AB1">
        <w:t xml:space="preserve"> </w:t>
      </w:r>
      <w:r w:rsidR="00395EB4">
        <w:t>Levels of anti-nutritional factors can therefore be reduced through both processing and b</w:t>
      </w:r>
      <w:r w:rsidR="00D46A49">
        <w:t>y selecting</w:t>
      </w:r>
      <w:r w:rsidR="00E07965">
        <w:t xml:space="preserve"> </w:t>
      </w:r>
      <w:r w:rsidR="00E07965" w:rsidRPr="007308A9">
        <w:t>modern cultivars of</w:t>
      </w:r>
      <w:r w:rsidR="000B7AB1" w:rsidRPr="007308A9">
        <w:t xml:space="preserve"> </w:t>
      </w:r>
      <w:r w:rsidR="00DD01E2" w:rsidRPr="007308A9">
        <w:rPr>
          <w:i/>
        </w:rPr>
        <w:t>Brassica</w:t>
      </w:r>
      <w:r w:rsidR="00DD01E2" w:rsidRPr="007308A9">
        <w:t xml:space="preserve"> </w:t>
      </w:r>
      <w:r w:rsidR="00D46A49" w:rsidRPr="007308A9">
        <w:t xml:space="preserve">species </w:t>
      </w:r>
      <w:r w:rsidR="00395EB4" w:rsidRPr="007308A9">
        <w:t xml:space="preserve">which are </w:t>
      </w:r>
      <w:r w:rsidR="00D46A49" w:rsidRPr="007308A9">
        <w:t>low in erucic acid and glucosinolates</w:t>
      </w:r>
      <w:r w:rsidR="00821A0B" w:rsidRPr="007308A9">
        <w:t>.</w:t>
      </w:r>
      <w:r w:rsidR="0080374E" w:rsidRPr="007308A9">
        <w:t xml:space="preserve"> </w:t>
      </w:r>
    </w:p>
    <w:p w14:paraId="56423481" w14:textId="3B090F60" w:rsidR="00062BFA" w:rsidRDefault="00321EA5" w:rsidP="00062BFA">
      <w:pPr>
        <w:pStyle w:val="Heading5"/>
      </w:pPr>
      <w:r>
        <w:t>M</w:t>
      </w:r>
      <w:r w:rsidR="00062BFA">
        <w:t>etals</w:t>
      </w:r>
    </w:p>
    <w:p w14:paraId="4E1F8BB7" w14:textId="34D5261E" w:rsidR="003B7B95" w:rsidRDefault="00D32ED4" w:rsidP="003B7B95">
      <w:pPr>
        <w:rPr>
          <w:lang w:bidi="ar-SA"/>
        </w:rPr>
      </w:pPr>
      <w:r>
        <w:rPr>
          <w:lang w:bidi="ar-SA"/>
        </w:rPr>
        <w:t xml:space="preserve">The maximum </w:t>
      </w:r>
      <w:r w:rsidR="009A6FC8">
        <w:rPr>
          <w:lang w:bidi="ar-SA"/>
        </w:rPr>
        <w:t>and mean</w:t>
      </w:r>
      <w:r>
        <w:rPr>
          <w:lang w:bidi="ar-SA"/>
        </w:rPr>
        <w:t xml:space="preserve"> levels for various metals in </w:t>
      </w:r>
      <w:r w:rsidR="00997052">
        <w:rPr>
          <w:lang w:bidi="ar-SA"/>
        </w:rPr>
        <w:t>5 batches of</w:t>
      </w:r>
      <w:r>
        <w:rPr>
          <w:lang w:bidi="ar-SA"/>
        </w:rPr>
        <w:t xml:space="preserve"> </w:t>
      </w:r>
      <w:r w:rsidR="00AC3990">
        <w:rPr>
          <w:lang w:bidi="ar-SA"/>
        </w:rPr>
        <w:t xml:space="preserve">the applicant’s </w:t>
      </w:r>
      <w:r>
        <w:rPr>
          <w:lang w:bidi="ar-SA"/>
        </w:rPr>
        <w:t xml:space="preserve">rapeseed protein isolate </w:t>
      </w:r>
      <w:r w:rsidR="00AC3990">
        <w:rPr>
          <w:lang w:bidi="ar-SA"/>
        </w:rPr>
        <w:t xml:space="preserve">and in the Code </w:t>
      </w:r>
      <w:r>
        <w:rPr>
          <w:lang w:bidi="ar-SA"/>
        </w:rPr>
        <w:t xml:space="preserve">are </w:t>
      </w:r>
      <w:r w:rsidR="007F0C1A">
        <w:rPr>
          <w:lang w:bidi="ar-SA"/>
        </w:rPr>
        <w:t>summarised in Table</w:t>
      </w:r>
      <w:r w:rsidR="0045161B">
        <w:rPr>
          <w:lang w:bidi="ar-SA"/>
        </w:rPr>
        <w:t xml:space="preserve"> </w:t>
      </w:r>
      <w:r w:rsidR="00B33F79">
        <w:rPr>
          <w:lang w:bidi="ar-SA"/>
        </w:rPr>
        <w:t>2.</w:t>
      </w:r>
      <w:r w:rsidR="009142E2">
        <w:rPr>
          <w:lang w:bidi="ar-SA"/>
        </w:rPr>
        <w:t>1</w:t>
      </w:r>
      <w:r w:rsidR="00844EF4">
        <w:rPr>
          <w:lang w:bidi="ar-SA"/>
        </w:rPr>
        <w:t xml:space="preserve">. </w:t>
      </w:r>
      <w:r w:rsidR="00903F1E">
        <w:rPr>
          <w:lang w:bidi="ar-SA"/>
        </w:rPr>
        <w:t>The maximum level</w:t>
      </w:r>
      <w:r w:rsidR="007F0C1A">
        <w:rPr>
          <w:lang w:bidi="ar-SA"/>
        </w:rPr>
        <w:t>s</w:t>
      </w:r>
      <w:r w:rsidR="00C81F42">
        <w:rPr>
          <w:lang w:bidi="ar-SA"/>
        </w:rPr>
        <w:t xml:space="preserve"> for </w:t>
      </w:r>
      <w:r w:rsidR="00B45AA5">
        <w:rPr>
          <w:lang w:bidi="ar-SA"/>
        </w:rPr>
        <w:t>a</w:t>
      </w:r>
      <w:r w:rsidR="00C81F42">
        <w:rPr>
          <w:lang w:bidi="ar-SA"/>
        </w:rPr>
        <w:t xml:space="preserve">rsenic, </w:t>
      </w:r>
      <w:r w:rsidR="00B45AA5">
        <w:rPr>
          <w:lang w:bidi="ar-SA"/>
        </w:rPr>
        <w:t>c</w:t>
      </w:r>
      <w:r w:rsidR="00C81F42">
        <w:rPr>
          <w:lang w:bidi="ar-SA"/>
        </w:rPr>
        <w:t xml:space="preserve">admium, </w:t>
      </w:r>
      <w:r w:rsidR="00B45AA5">
        <w:rPr>
          <w:lang w:bidi="ar-SA"/>
        </w:rPr>
        <w:t>l</w:t>
      </w:r>
      <w:r w:rsidR="00C81F42">
        <w:rPr>
          <w:lang w:bidi="ar-SA"/>
        </w:rPr>
        <w:t xml:space="preserve">ead and </w:t>
      </w:r>
      <w:r w:rsidR="00B45AA5">
        <w:rPr>
          <w:lang w:bidi="ar-SA"/>
        </w:rPr>
        <w:t>m</w:t>
      </w:r>
      <w:r w:rsidR="00C81F42">
        <w:rPr>
          <w:lang w:bidi="ar-SA"/>
        </w:rPr>
        <w:t xml:space="preserve">ercury </w:t>
      </w:r>
      <w:r w:rsidR="000958CA">
        <w:rPr>
          <w:lang w:bidi="ar-SA"/>
        </w:rPr>
        <w:t xml:space="preserve">provided by the applicant </w:t>
      </w:r>
      <w:r w:rsidR="00C81F42">
        <w:rPr>
          <w:lang w:bidi="ar-SA"/>
        </w:rPr>
        <w:t xml:space="preserve">are </w:t>
      </w:r>
      <w:r w:rsidR="00505DC9">
        <w:rPr>
          <w:lang w:bidi="ar-SA"/>
        </w:rPr>
        <w:t>lower than</w:t>
      </w:r>
      <w:r w:rsidR="00844EF4">
        <w:rPr>
          <w:lang w:bidi="ar-SA"/>
        </w:rPr>
        <w:t xml:space="preserve"> </w:t>
      </w:r>
      <w:r w:rsidR="00C81F42">
        <w:rPr>
          <w:lang w:bidi="ar-SA"/>
        </w:rPr>
        <w:t xml:space="preserve">the </w:t>
      </w:r>
      <w:r w:rsidR="000958CA">
        <w:rPr>
          <w:lang w:bidi="ar-SA"/>
        </w:rPr>
        <w:t xml:space="preserve">default </w:t>
      </w:r>
      <w:r w:rsidR="00B502B2">
        <w:rPr>
          <w:lang w:bidi="ar-SA"/>
        </w:rPr>
        <w:t>maximum</w:t>
      </w:r>
      <w:r w:rsidR="00844EF4">
        <w:rPr>
          <w:lang w:bidi="ar-SA"/>
        </w:rPr>
        <w:t xml:space="preserve"> limits</w:t>
      </w:r>
      <w:r w:rsidR="00EB1BF5">
        <w:rPr>
          <w:lang w:bidi="ar-SA"/>
        </w:rPr>
        <w:t xml:space="preserve"> </w:t>
      </w:r>
      <w:r w:rsidR="00B45AA5">
        <w:rPr>
          <w:lang w:bidi="ar-SA"/>
        </w:rPr>
        <w:t xml:space="preserve">for </w:t>
      </w:r>
      <w:r w:rsidR="003F52BA">
        <w:rPr>
          <w:lang w:bidi="ar-SA"/>
        </w:rPr>
        <w:t xml:space="preserve">metals </w:t>
      </w:r>
      <w:r w:rsidR="00EB1BF5">
        <w:rPr>
          <w:lang w:bidi="ar-SA"/>
        </w:rPr>
        <w:t xml:space="preserve">listed in </w:t>
      </w:r>
      <w:r w:rsidR="00552199">
        <w:rPr>
          <w:lang w:bidi="ar-SA"/>
        </w:rPr>
        <w:t>S3</w:t>
      </w:r>
      <w:r w:rsidR="00B51CC7">
        <w:rPr>
          <w:lang w:bidi="ar-SA"/>
        </w:rPr>
        <w:t>—</w:t>
      </w:r>
      <w:r w:rsidR="00552199">
        <w:rPr>
          <w:lang w:bidi="ar-SA"/>
        </w:rPr>
        <w:t>4</w:t>
      </w:r>
      <w:r w:rsidR="00833DF0">
        <w:rPr>
          <w:lang w:bidi="ar-SA"/>
        </w:rPr>
        <w:t xml:space="preserve"> in the Code</w:t>
      </w:r>
      <w:r w:rsidR="00844EF4">
        <w:rPr>
          <w:lang w:bidi="ar-SA"/>
        </w:rPr>
        <w:t xml:space="preserve">. </w:t>
      </w:r>
      <w:r w:rsidR="00120C60">
        <w:rPr>
          <w:lang w:bidi="ar-SA"/>
        </w:rPr>
        <w:t>The only metal for which there is a</w:t>
      </w:r>
      <w:r w:rsidR="00AC3990">
        <w:rPr>
          <w:lang w:bidi="ar-SA"/>
        </w:rPr>
        <w:t xml:space="preserve">n </w:t>
      </w:r>
      <w:r w:rsidR="00BD6CEF">
        <w:rPr>
          <w:lang w:bidi="ar-SA"/>
        </w:rPr>
        <w:t xml:space="preserve">additional and lower </w:t>
      </w:r>
      <w:r w:rsidR="00120C60">
        <w:rPr>
          <w:lang w:bidi="ar-SA"/>
        </w:rPr>
        <w:t xml:space="preserve">maximum limit </w:t>
      </w:r>
      <w:r w:rsidR="000C2738">
        <w:rPr>
          <w:lang w:bidi="ar-SA"/>
        </w:rPr>
        <w:t>is for lead at 0.5 mg/kg</w:t>
      </w:r>
      <w:r w:rsidR="0024496B">
        <w:rPr>
          <w:lang w:bidi="ar-SA"/>
        </w:rPr>
        <w:t xml:space="preserve">. This information was </w:t>
      </w:r>
      <w:r w:rsidR="0024496B" w:rsidRPr="0024496B">
        <w:rPr>
          <w:lang w:bidi="ar-SA"/>
        </w:rPr>
        <w:t xml:space="preserve">proposed by the applicant </w:t>
      </w:r>
      <w:r w:rsidR="00833DF0">
        <w:rPr>
          <w:lang w:bidi="ar-SA"/>
        </w:rPr>
        <w:t xml:space="preserve">for the </w:t>
      </w:r>
      <w:r w:rsidR="00AC3990">
        <w:rPr>
          <w:lang w:bidi="ar-SA"/>
        </w:rPr>
        <w:t>product specification in Table 2.5. This is also consistent with the maximum limit</w:t>
      </w:r>
      <w:r w:rsidR="000C2738">
        <w:rPr>
          <w:lang w:bidi="ar-SA"/>
        </w:rPr>
        <w:t xml:space="preserve"> </w:t>
      </w:r>
      <w:r w:rsidR="00923E37">
        <w:rPr>
          <w:lang w:bidi="ar-SA"/>
        </w:rPr>
        <w:t xml:space="preserve">in the </w:t>
      </w:r>
      <w:r w:rsidR="000C2738">
        <w:rPr>
          <w:lang w:bidi="ar-SA"/>
        </w:rPr>
        <w:t xml:space="preserve">2013 </w:t>
      </w:r>
      <w:r w:rsidR="00923E37">
        <w:rPr>
          <w:lang w:bidi="ar-SA"/>
        </w:rPr>
        <w:t xml:space="preserve">EFSA assessment </w:t>
      </w:r>
      <w:r w:rsidR="00C85CA5">
        <w:rPr>
          <w:lang w:bidi="ar-SA"/>
        </w:rPr>
        <w:t xml:space="preserve">and US </w:t>
      </w:r>
      <w:r w:rsidR="00120C60">
        <w:rPr>
          <w:lang w:bidi="ar-SA"/>
        </w:rPr>
        <w:t xml:space="preserve">GRAS notifications </w:t>
      </w:r>
      <w:r w:rsidR="004C5E68">
        <w:rPr>
          <w:lang w:bidi="ar-SA"/>
        </w:rPr>
        <w:t xml:space="preserve">for </w:t>
      </w:r>
      <w:r w:rsidR="005C040C">
        <w:rPr>
          <w:lang w:bidi="ar-SA"/>
        </w:rPr>
        <w:t>DSM’s</w:t>
      </w:r>
      <w:r w:rsidR="004C5E68">
        <w:rPr>
          <w:lang w:bidi="ar-SA"/>
        </w:rPr>
        <w:t xml:space="preserve"> and other rapeseed protein isolates </w:t>
      </w:r>
      <w:r w:rsidR="00923E37">
        <w:rPr>
          <w:lang w:bidi="ar-SA"/>
        </w:rPr>
        <w:t>(EFSA</w:t>
      </w:r>
      <w:r w:rsidR="000C2738">
        <w:rPr>
          <w:lang w:bidi="ar-SA"/>
        </w:rPr>
        <w:t xml:space="preserve"> NDA Panel</w:t>
      </w:r>
      <w:r w:rsidR="00923E37">
        <w:rPr>
          <w:lang w:bidi="ar-SA"/>
        </w:rPr>
        <w:t>, 2013</w:t>
      </w:r>
      <w:r w:rsidR="00B90B6A">
        <w:rPr>
          <w:lang w:bidi="ar-SA"/>
        </w:rPr>
        <w:t>;</w:t>
      </w:r>
      <w:r w:rsidR="004C5E68">
        <w:rPr>
          <w:lang w:bidi="ar-SA"/>
        </w:rPr>
        <w:t xml:space="preserve"> US FDA </w:t>
      </w:r>
      <w:r w:rsidR="000C2738">
        <w:rPr>
          <w:lang w:bidi="ar-SA"/>
        </w:rPr>
        <w:t>2010 and 2017</w:t>
      </w:r>
      <w:r w:rsidR="004B1ADC">
        <w:rPr>
          <w:lang w:bidi="ar-SA"/>
        </w:rPr>
        <w:t>).</w:t>
      </w:r>
    </w:p>
    <w:p w14:paraId="798C6400" w14:textId="7A8D5184" w:rsidR="008F704E" w:rsidRDefault="008F704E" w:rsidP="003B7B95">
      <w:pPr>
        <w:rPr>
          <w:lang w:bidi="ar-SA"/>
        </w:rPr>
      </w:pPr>
    </w:p>
    <w:p w14:paraId="1A7D3C5A" w14:textId="0277AAE5" w:rsidR="008F704E" w:rsidRPr="005021AA" w:rsidRDefault="00B45AA5" w:rsidP="00CC2216">
      <w:pPr>
        <w:pStyle w:val="FSTableTitle"/>
        <w:keepNext/>
        <w:keepLines/>
        <w:rPr>
          <w:b w:val="0"/>
          <w:i/>
          <w:lang w:bidi="ar-SA"/>
        </w:rPr>
      </w:pPr>
      <w:r w:rsidRPr="005021AA">
        <w:rPr>
          <w:i/>
          <w:lang w:bidi="ar-SA"/>
        </w:rPr>
        <w:t xml:space="preserve">Table </w:t>
      </w:r>
      <w:r w:rsidR="00B33F79" w:rsidRPr="005021AA">
        <w:rPr>
          <w:i/>
          <w:lang w:bidi="ar-SA"/>
        </w:rPr>
        <w:t>2.</w:t>
      </w:r>
      <w:r w:rsidR="009142E2" w:rsidRPr="005021AA">
        <w:rPr>
          <w:i/>
          <w:lang w:bidi="ar-SA"/>
        </w:rPr>
        <w:t>1</w:t>
      </w:r>
      <w:r w:rsidR="005021AA">
        <w:rPr>
          <w:i/>
          <w:lang w:bidi="ar-SA"/>
        </w:rPr>
        <w:tab/>
      </w:r>
      <w:r w:rsidR="003E23EA" w:rsidRPr="005021AA">
        <w:rPr>
          <w:b w:val="0"/>
          <w:i/>
          <w:lang w:bidi="ar-SA"/>
        </w:rPr>
        <w:t>M</w:t>
      </w:r>
      <w:r w:rsidRPr="005021AA">
        <w:rPr>
          <w:b w:val="0"/>
          <w:i/>
          <w:lang w:bidi="ar-SA"/>
        </w:rPr>
        <w:t xml:space="preserve">etal </w:t>
      </w:r>
      <w:r w:rsidR="00DD01E2" w:rsidRPr="005021AA">
        <w:rPr>
          <w:b w:val="0"/>
          <w:i/>
          <w:lang w:bidi="ar-SA"/>
        </w:rPr>
        <w:t xml:space="preserve">maximum </w:t>
      </w:r>
      <w:r w:rsidR="00431531">
        <w:rPr>
          <w:b w:val="0"/>
          <w:i/>
          <w:lang w:bidi="ar-SA"/>
        </w:rPr>
        <w:t>and mean</w:t>
      </w:r>
      <w:r w:rsidR="00DD01E2" w:rsidRPr="005021AA">
        <w:rPr>
          <w:b w:val="0"/>
          <w:i/>
          <w:lang w:bidi="ar-SA"/>
        </w:rPr>
        <w:t xml:space="preserve"> </w:t>
      </w:r>
      <w:r w:rsidRPr="005021AA">
        <w:rPr>
          <w:b w:val="0"/>
          <w:i/>
          <w:lang w:bidi="ar-SA"/>
        </w:rPr>
        <w:t xml:space="preserve">levels </w:t>
      </w:r>
      <w:r w:rsidR="00C81F42" w:rsidRPr="005021AA">
        <w:rPr>
          <w:b w:val="0"/>
          <w:i/>
          <w:lang w:bidi="ar-SA"/>
        </w:rPr>
        <w:t>in</w:t>
      </w:r>
      <w:r w:rsidRPr="005021AA">
        <w:rPr>
          <w:b w:val="0"/>
          <w:i/>
          <w:lang w:bidi="ar-SA"/>
        </w:rPr>
        <w:t xml:space="preserve"> </w:t>
      </w:r>
      <w:r w:rsidR="00665389" w:rsidRPr="005021AA">
        <w:rPr>
          <w:b w:val="0"/>
          <w:i/>
          <w:lang w:bidi="ar-SA"/>
        </w:rPr>
        <w:t>r</w:t>
      </w:r>
      <w:r w:rsidR="008F704E" w:rsidRPr="005021AA">
        <w:rPr>
          <w:b w:val="0"/>
          <w:i/>
          <w:lang w:bidi="ar-SA"/>
        </w:rPr>
        <w:t xml:space="preserve">apeseed </w:t>
      </w:r>
      <w:r w:rsidR="003E23EA" w:rsidRPr="005021AA">
        <w:rPr>
          <w:b w:val="0"/>
          <w:i/>
          <w:lang w:bidi="ar-SA"/>
        </w:rPr>
        <w:t>p</w:t>
      </w:r>
      <w:r w:rsidR="008F704E" w:rsidRPr="005021AA">
        <w:rPr>
          <w:b w:val="0"/>
          <w:i/>
          <w:lang w:bidi="ar-SA"/>
        </w:rPr>
        <w:t xml:space="preserve">rotein </w:t>
      </w:r>
      <w:r w:rsidR="00D32ED4" w:rsidRPr="005021AA">
        <w:rPr>
          <w:b w:val="0"/>
          <w:i/>
          <w:lang w:bidi="ar-SA"/>
        </w:rPr>
        <w:t xml:space="preserve">isolate </w:t>
      </w:r>
      <w:r w:rsidR="00C81F42" w:rsidRPr="005021AA">
        <w:rPr>
          <w:b w:val="0"/>
          <w:i/>
          <w:lang w:bidi="ar-SA"/>
        </w:rPr>
        <w:t xml:space="preserve">compared </w:t>
      </w:r>
      <w:r w:rsidR="008F704E" w:rsidRPr="005021AA">
        <w:rPr>
          <w:b w:val="0"/>
          <w:i/>
          <w:lang w:bidi="ar-SA"/>
        </w:rPr>
        <w:t xml:space="preserve">with </w:t>
      </w:r>
      <w:r w:rsidR="00DD01E2" w:rsidRPr="005021AA">
        <w:rPr>
          <w:b w:val="0"/>
          <w:i/>
          <w:lang w:bidi="ar-SA"/>
        </w:rPr>
        <w:t xml:space="preserve">maximum limits in </w:t>
      </w:r>
      <w:r w:rsidR="008F704E" w:rsidRPr="005021AA">
        <w:rPr>
          <w:b w:val="0"/>
          <w:i/>
          <w:lang w:bidi="ar-SA"/>
        </w:rPr>
        <w:t>S3</w:t>
      </w:r>
      <w:r w:rsidR="00B51CC7">
        <w:rPr>
          <w:b w:val="0"/>
          <w:i/>
          <w:lang w:bidi="ar-SA"/>
        </w:rPr>
        <w:t>—</w:t>
      </w:r>
      <w:r w:rsidR="008F704E" w:rsidRPr="005021AA">
        <w:rPr>
          <w:b w:val="0"/>
          <w:i/>
          <w:lang w:bidi="ar-SA"/>
        </w:rPr>
        <w:t xml:space="preserve">4 </w:t>
      </w:r>
      <w:r w:rsidRPr="005021AA">
        <w:rPr>
          <w:b w:val="0"/>
          <w:i/>
          <w:lang w:bidi="ar-SA"/>
        </w:rPr>
        <w:t xml:space="preserve">of the </w:t>
      </w:r>
      <w:r w:rsidR="00302211" w:rsidRPr="005021AA">
        <w:rPr>
          <w:b w:val="0"/>
          <w:i/>
          <w:lang w:bidi="ar-SA"/>
        </w:rPr>
        <w:t>Code</w:t>
      </w:r>
    </w:p>
    <w:p w14:paraId="70E2DF5E" w14:textId="77777777" w:rsidR="005021AA" w:rsidRPr="005021AA" w:rsidRDefault="005021AA" w:rsidP="00CC2216">
      <w:pPr>
        <w:keepLines/>
        <w:rPr>
          <w:lang w:bidi="ar-SA"/>
        </w:rPr>
      </w:pPr>
    </w:p>
    <w:tbl>
      <w:tblPr>
        <w:tblStyle w:val="TableGrid"/>
        <w:tblW w:w="9351" w:type="dxa"/>
        <w:tblLook w:val="04A0" w:firstRow="1" w:lastRow="0" w:firstColumn="1" w:lastColumn="0" w:noHBand="0" w:noVBand="1"/>
        <w:tblCaption w:val="Metal levels in rapeseed protein isolate compared with the Code requirements"/>
        <w:tblDescription w:val="Table 2.1 has 3 columns. The first lists metals and the second column lists maximum levels for rapeseed protein isolate iarsenic, cadmium, lead and mercury in mg/kg. The final column compares the metals to limits in the Code. "/>
      </w:tblPr>
      <w:tblGrid>
        <w:gridCol w:w="2174"/>
        <w:gridCol w:w="2357"/>
        <w:gridCol w:w="2410"/>
        <w:gridCol w:w="2410"/>
      </w:tblGrid>
      <w:tr w:rsidR="008F704E" w14:paraId="6441C728" w14:textId="77777777" w:rsidTr="00F84405">
        <w:tc>
          <w:tcPr>
            <w:tcW w:w="2174" w:type="dxa"/>
          </w:tcPr>
          <w:p w14:paraId="11156BCB" w14:textId="6C87E7F9" w:rsidR="008F704E" w:rsidRPr="008F704E" w:rsidRDefault="00321EA5" w:rsidP="00CC2216">
            <w:pPr>
              <w:pStyle w:val="FSTableTitle"/>
              <w:keepNext/>
              <w:keepLines/>
            </w:pPr>
            <w:r>
              <w:rPr>
                <w:lang w:bidi="ar-SA"/>
              </w:rPr>
              <w:t>M</w:t>
            </w:r>
            <w:r w:rsidR="008F704E">
              <w:rPr>
                <w:lang w:bidi="ar-SA"/>
              </w:rPr>
              <w:t>etal</w:t>
            </w:r>
          </w:p>
        </w:tc>
        <w:tc>
          <w:tcPr>
            <w:tcW w:w="2357" w:type="dxa"/>
            <w:vAlign w:val="center"/>
          </w:tcPr>
          <w:p w14:paraId="7DD50363" w14:textId="3266019A" w:rsidR="008F704E" w:rsidRDefault="00302211" w:rsidP="00855035">
            <w:pPr>
              <w:pStyle w:val="FSTableHeading"/>
              <w:keepNext/>
              <w:keepLines/>
              <w:tabs>
                <w:tab w:val="decimal" w:pos="1701"/>
              </w:tabs>
              <w:rPr>
                <w:lang w:bidi="ar-SA"/>
              </w:rPr>
            </w:pPr>
            <w:r>
              <w:rPr>
                <w:lang w:bidi="ar-SA"/>
              </w:rPr>
              <w:t xml:space="preserve">Maximum level </w:t>
            </w:r>
            <w:r w:rsidR="00D52C7B">
              <w:rPr>
                <w:lang w:bidi="ar-SA"/>
              </w:rPr>
              <w:t>for</w:t>
            </w:r>
            <w:r w:rsidR="00B45AA5">
              <w:rPr>
                <w:lang w:bidi="ar-SA"/>
              </w:rPr>
              <w:t xml:space="preserve"> </w:t>
            </w:r>
            <w:r w:rsidR="008F704E">
              <w:rPr>
                <w:lang w:bidi="ar-SA"/>
              </w:rPr>
              <w:t>Rapeseed Protein</w:t>
            </w:r>
            <w:r w:rsidR="007F0C1A">
              <w:rPr>
                <w:lang w:bidi="ar-SA"/>
              </w:rPr>
              <w:t xml:space="preserve"> Isolate</w:t>
            </w:r>
            <w:r w:rsidR="00C81F42">
              <w:rPr>
                <w:lang w:bidi="ar-SA"/>
              </w:rPr>
              <w:t xml:space="preserve"> (</w:t>
            </w:r>
            <w:r w:rsidR="00903F1E">
              <w:rPr>
                <w:lang w:bidi="ar-SA"/>
              </w:rPr>
              <w:t>mg/</w:t>
            </w:r>
            <w:r w:rsidR="0082178D">
              <w:rPr>
                <w:lang w:bidi="ar-SA"/>
              </w:rPr>
              <w:t>k</w:t>
            </w:r>
            <w:r w:rsidR="00903F1E">
              <w:rPr>
                <w:lang w:bidi="ar-SA"/>
              </w:rPr>
              <w:t>g</w:t>
            </w:r>
            <w:r w:rsidR="00C81F42">
              <w:rPr>
                <w:lang w:bidi="ar-SA"/>
              </w:rPr>
              <w:t>)</w:t>
            </w:r>
          </w:p>
        </w:tc>
        <w:tc>
          <w:tcPr>
            <w:tcW w:w="2410" w:type="dxa"/>
            <w:vAlign w:val="center"/>
          </w:tcPr>
          <w:p w14:paraId="27E5F8AA" w14:textId="6D10801D" w:rsidR="00431531" w:rsidRDefault="00431531" w:rsidP="00855035">
            <w:pPr>
              <w:pStyle w:val="FSTableHeading"/>
              <w:keepNext/>
              <w:keepLines/>
              <w:tabs>
                <w:tab w:val="decimal" w:pos="1701"/>
              </w:tabs>
              <w:rPr>
                <w:lang w:bidi="ar-SA"/>
              </w:rPr>
            </w:pPr>
            <w:r>
              <w:rPr>
                <w:lang w:bidi="ar-SA"/>
              </w:rPr>
              <w:t xml:space="preserve">Mean level for </w:t>
            </w:r>
            <w:r w:rsidR="00855035">
              <w:rPr>
                <w:lang w:bidi="ar-SA"/>
              </w:rPr>
              <w:t>R</w:t>
            </w:r>
            <w:r>
              <w:rPr>
                <w:lang w:bidi="ar-SA"/>
              </w:rPr>
              <w:t xml:space="preserve">apeseed </w:t>
            </w:r>
            <w:r w:rsidR="00855035">
              <w:rPr>
                <w:lang w:bidi="ar-SA"/>
              </w:rPr>
              <w:t>P</w:t>
            </w:r>
            <w:r>
              <w:rPr>
                <w:lang w:bidi="ar-SA"/>
              </w:rPr>
              <w:t xml:space="preserve">rotein </w:t>
            </w:r>
            <w:r w:rsidR="00855035">
              <w:rPr>
                <w:lang w:bidi="ar-SA"/>
              </w:rPr>
              <w:t>I</w:t>
            </w:r>
            <w:r>
              <w:rPr>
                <w:lang w:bidi="ar-SA"/>
              </w:rPr>
              <w:t>solate (mg/</w:t>
            </w:r>
            <w:r w:rsidR="0082178D">
              <w:rPr>
                <w:lang w:bidi="ar-SA"/>
              </w:rPr>
              <w:t>k</w:t>
            </w:r>
            <w:r>
              <w:rPr>
                <w:lang w:bidi="ar-SA"/>
              </w:rPr>
              <w:t>g)</w:t>
            </w:r>
          </w:p>
        </w:tc>
        <w:tc>
          <w:tcPr>
            <w:tcW w:w="2410" w:type="dxa"/>
            <w:vAlign w:val="center"/>
          </w:tcPr>
          <w:p w14:paraId="6FEFF974" w14:textId="4D7DF232" w:rsidR="008F704E" w:rsidRDefault="008F704E" w:rsidP="00855035">
            <w:pPr>
              <w:pStyle w:val="FSTableHeading"/>
              <w:keepNext/>
              <w:keepLines/>
              <w:tabs>
                <w:tab w:val="decimal" w:pos="1701"/>
              </w:tabs>
              <w:rPr>
                <w:lang w:bidi="ar-SA"/>
              </w:rPr>
            </w:pPr>
            <w:r>
              <w:rPr>
                <w:lang w:bidi="ar-SA"/>
              </w:rPr>
              <w:t>S3</w:t>
            </w:r>
            <w:r w:rsidR="00B51CC7">
              <w:rPr>
                <w:lang w:bidi="ar-SA"/>
              </w:rPr>
              <w:t>—</w:t>
            </w:r>
            <w:r>
              <w:rPr>
                <w:lang w:bidi="ar-SA"/>
              </w:rPr>
              <w:t>4 Maximum Limits (mg/</w:t>
            </w:r>
            <w:r w:rsidR="0082178D">
              <w:rPr>
                <w:lang w:bidi="ar-SA"/>
              </w:rPr>
              <w:t>k</w:t>
            </w:r>
            <w:r>
              <w:rPr>
                <w:lang w:bidi="ar-SA"/>
              </w:rPr>
              <w:t>g)</w:t>
            </w:r>
          </w:p>
        </w:tc>
      </w:tr>
      <w:tr w:rsidR="008F704E" w14:paraId="3A501E0B" w14:textId="77777777" w:rsidTr="00F84405">
        <w:tc>
          <w:tcPr>
            <w:tcW w:w="2174" w:type="dxa"/>
          </w:tcPr>
          <w:p w14:paraId="4A8238A6" w14:textId="7F9B985A" w:rsidR="008F704E" w:rsidRDefault="008F704E" w:rsidP="00CC2216">
            <w:pPr>
              <w:pStyle w:val="FSTableText"/>
              <w:keepNext/>
              <w:keepLines/>
              <w:rPr>
                <w:lang w:bidi="ar-SA"/>
              </w:rPr>
            </w:pPr>
            <w:r>
              <w:rPr>
                <w:lang w:bidi="ar-SA"/>
              </w:rPr>
              <w:t>Arsenic</w:t>
            </w:r>
          </w:p>
        </w:tc>
        <w:tc>
          <w:tcPr>
            <w:tcW w:w="2357" w:type="dxa"/>
          </w:tcPr>
          <w:p w14:paraId="00C42076" w14:textId="1F3CCABC" w:rsidR="008F704E" w:rsidRDefault="00431531" w:rsidP="00CC2216">
            <w:pPr>
              <w:pStyle w:val="FSTableText"/>
              <w:keepNext/>
              <w:keepLines/>
              <w:tabs>
                <w:tab w:val="decimal" w:pos="1134"/>
              </w:tabs>
              <w:rPr>
                <w:lang w:bidi="ar-SA"/>
              </w:rPr>
            </w:pPr>
            <w:r>
              <w:rPr>
                <w:lang w:bidi="ar-SA"/>
              </w:rPr>
              <w:t>*</w:t>
            </w:r>
          </w:p>
        </w:tc>
        <w:tc>
          <w:tcPr>
            <w:tcW w:w="2410" w:type="dxa"/>
          </w:tcPr>
          <w:p w14:paraId="3265FAA4" w14:textId="605E9EF1" w:rsidR="00431531" w:rsidRDefault="00431531" w:rsidP="00CC2216">
            <w:pPr>
              <w:pStyle w:val="FSTableText"/>
              <w:keepNext/>
              <w:keepLines/>
              <w:jc w:val="center"/>
              <w:rPr>
                <w:lang w:bidi="ar-SA"/>
              </w:rPr>
            </w:pPr>
            <w:r>
              <w:rPr>
                <w:lang w:bidi="ar-SA"/>
              </w:rPr>
              <w:t>*</w:t>
            </w:r>
          </w:p>
        </w:tc>
        <w:tc>
          <w:tcPr>
            <w:tcW w:w="2410" w:type="dxa"/>
          </w:tcPr>
          <w:p w14:paraId="7F1DEE69" w14:textId="4B48B927" w:rsidR="008F704E" w:rsidRDefault="003A5D4F" w:rsidP="00CC2216">
            <w:pPr>
              <w:pStyle w:val="FSTableText"/>
              <w:keepNext/>
              <w:keepLines/>
              <w:jc w:val="center"/>
              <w:rPr>
                <w:lang w:bidi="ar-SA"/>
              </w:rPr>
            </w:pPr>
            <w:r>
              <w:rPr>
                <w:lang w:bidi="ar-SA"/>
              </w:rPr>
              <w:t>1</w:t>
            </w:r>
            <w:r w:rsidR="00855035">
              <w:rPr>
                <w:lang w:bidi="ar-SA"/>
              </w:rPr>
              <w:t>.00</w:t>
            </w:r>
          </w:p>
        </w:tc>
      </w:tr>
      <w:tr w:rsidR="008F704E" w14:paraId="47537A96" w14:textId="77777777" w:rsidTr="00F84405">
        <w:tc>
          <w:tcPr>
            <w:tcW w:w="2174" w:type="dxa"/>
          </w:tcPr>
          <w:p w14:paraId="2E9D6097" w14:textId="754AFE5D" w:rsidR="008F704E" w:rsidRDefault="008F704E" w:rsidP="00CC2216">
            <w:pPr>
              <w:pStyle w:val="FSTableText"/>
              <w:keepNext/>
              <w:keepLines/>
              <w:rPr>
                <w:lang w:bidi="ar-SA"/>
              </w:rPr>
            </w:pPr>
            <w:r>
              <w:rPr>
                <w:lang w:bidi="ar-SA"/>
              </w:rPr>
              <w:t>Cadmium</w:t>
            </w:r>
          </w:p>
        </w:tc>
        <w:tc>
          <w:tcPr>
            <w:tcW w:w="2357" w:type="dxa"/>
          </w:tcPr>
          <w:p w14:paraId="668F5D77" w14:textId="26E76210" w:rsidR="008F704E" w:rsidRDefault="00D863DC" w:rsidP="00CC2216">
            <w:pPr>
              <w:pStyle w:val="FSTableText"/>
              <w:keepNext/>
              <w:keepLines/>
              <w:tabs>
                <w:tab w:val="decimal" w:pos="1134"/>
              </w:tabs>
              <w:rPr>
                <w:lang w:bidi="ar-SA"/>
              </w:rPr>
            </w:pPr>
            <w:r>
              <w:rPr>
                <w:lang w:bidi="ar-SA"/>
              </w:rPr>
              <w:t>0.028</w:t>
            </w:r>
          </w:p>
        </w:tc>
        <w:tc>
          <w:tcPr>
            <w:tcW w:w="2410" w:type="dxa"/>
          </w:tcPr>
          <w:p w14:paraId="7860957B" w14:textId="374BFE5F" w:rsidR="00431531" w:rsidRDefault="00431531" w:rsidP="00CC2216">
            <w:pPr>
              <w:pStyle w:val="FSTableText"/>
              <w:keepNext/>
              <w:keepLines/>
              <w:jc w:val="center"/>
              <w:rPr>
                <w:lang w:bidi="ar-SA"/>
              </w:rPr>
            </w:pPr>
            <w:r>
              <w:rPr>
                <w:lang w:bidi="ar-SA"/>
              </w:rPr>
              <w:t>0.017</w:t>
            </w:r>
          </w:p>
        </w:tc>
        <w:tc>
          <w:tcPr>
            <w:tcW w:w="2410" w:type="dxa"/>
          </w:tcPr>
          <w:p w14:paraId="25018B8E" w14:textId="33099EAA" w:rsidR="008F704E" w:rsidRDefault="003A5D4F" w:rsidP="00CC2216">
            <w:pPr>
              <w:pStyle w:val="FSTableText"/>
              <w:keepNext/>
              <w:keepLines/>
              <w:jc w:val="center"/>
              <w:rPr>
                <w:lang w:bidi="ar-SA"/>
              </w:rPr>
            </w:pPr>
            <w:r>
              <w:rPr>
                <w:lang w:bidi="ar-SA"/>
              </w:rPr>
              <w:t>1</w:t>
            </w:r>
            <w:r w:rsidR="00855035">
              <w:rPr>
                <w:lang w:bidi="ar-SA"/>
              </w:rPr>
              <w:t>.00</w:t>
            </w:r>
          </w:p>
        </w:tc>
      </w:tr>
      <w:tr w:rsidR="008F704E" w14:paraId="69FD4957" w14:textId="77777777" w:rsidTr="00F84405">
        <w:tc>
          <w:tcPr>
            <w:tcW w:w="2174" w:type="dxa"/>
          </w:tcPr>
          <w:p w14:paraId="6892A894" w14:textId="63C54B27" w:rsidR="008F704E" w:rsidRDefault="008F704E" w:rsidP="00CC2216">
            <w:pPr>
              <w:pStyle w:val="FSTableText"/>
              <w:keepNext/>
              <w:keepLines/>
              <w:rPr>
                <w:lang w:bidi="ar-SA"/>
              </w:rPr>
            </w:pPr>
            <w:r>
              <w:rPr>
                <w:lang w:bidi="ar-SA"/>
              </w:rPr>
              <w:t>Lead</w:t>
            </w:r>
            <w:r w:rsidR="00997052">
              <w:rPr>
                <w:lang w:bidi="ar-SA"/>
              </w:rPr>
              <w:t>**</w:t>
            </w:r>
          </w:p>
        </w:tc>
        <w:tc>
          <w:tcPr>
            <w:tcW w:w="2357" w:type="dxa"/>
          </w:tcPr>
          <w:p w14:paraId="5D5A18AB" w14:textId="3CC5EFB7" w:rsidR="008F704E" w:rsidRDefault="00D863DC" w:rsidP="00CC2216">
            <w:pPr>
              <w:pStyle w:val="FSTableText"/>
              <w:keepNext/>
              <w:keepLines/>
              <w:tabs>
                <w:tab w:val="decimal" w:pos="1134"/>
              </w:tabs>
              <w:rPr>
                <w:lang w:bidi="ar-SA"/>
              </w:rPr>
            </w:pPr>
            <w:r>
              <w:rPr>
                <w:lang w:bidi="ar-SA"/>
              </w:rPr>
              <w:t>0.024</w:t>
            </w:r>
          </w:p>
        </w:tc>
        <w:tc>
          <w:tcPr>
            <w:tcW w:w="2410" w:type="dxa"/>
          </w:tcPr>
          <w:p w14:paraId="70BD9286" w14:textId="01765496" w:rsidR="000F515D" w:rsidRDefault="000F515D" w:rsidP="00CC2216">
            <w:pPr>
              <w:pStyle w:val="FSTableText"/>
              <w:keepNext/>
              <w:keepLines/>
              <w:jc w:val="center"/>
              <w:rPr>
                <w:lang w:bidi="ar-SA"/>
              </w:rPr>
            </w:pPr>
            <w:r>
              <w:rPr>
                <w:lang w:bidi="ar-SA"/>
              </w:rPr>
              <w:t>0.013</w:t>
            </w:r>
          </w:p>
        </w:tc>
        <w:tc>
          <w:tcPr>
            <w:tcW w:w="2410" w:type="dxa"/>
          </w:tcPr>
          <w:p w14:paraId="64714F55" w14:textId="0B8B6A0D" w:rsidR="008F704E" w:rsidRDefault="003A5D4F" w:rsidP="00CC2216">
            <w:pPr>
              <w:pStyle w:val="FSTableText"/>
              <w:keepNext/>
              <w:keepLines/>
              <w:jc w:val="center"/>
              <w:rPr>
                <w:lang w:bidi="ar-SA"/>
              </w:rPr>
            </w:pPr>
            <w:r>
              <w:rPr>
                <w:lang w:bidi="ar-SA"/>
              </w:rPr>
              <w:t>2</w:t>
            </w:r>
            <w:r w:rsidR="00855035">
              <w:rPr>
                <w:lang w:bidi="ar-SA"/>
              </w:rPr>
              <w:t>.00</w:t>
            </w:r>
          </w:p>
        </w:tc>
      </w:tr>
      <w:tr w:rsidR="008F704E" w14:paraId="42A25126" w14:textId="77777777" w:rsidTr="00F84405">
        <w:tc>
          <w:tcPr>
            <w:tcW w:w="2174" w:type="dxa"/>
          </w:tcPr>
          <w:p w14:paraId="34F38A2A" w14:textId="5BCD9A51" w:rsidR="008F704E" w:rsidRDefault="008F704E" w:rsidP="00CC2216">
            <w:pPr>
              <w:pStyle w:val="FSTableText"/>
              <w:keepNext/>
              <w:keepLines/>
              <w:rPr>
                <w:lang w:bidi="ar-SA"/>
              </w:rPr>
            </w:pPr>
            <w:r>
              <w:rPr>
                <w:lang w:bidi="ar-SA"/>
              </w:rPr>
              <w:t>Mercury</w:t>
            </w:r>
          </w:p>
        </w:tc>
        <w:tc>
          <w:tcPr>
            <w:tcW w:w="2357" w:type="dxa"/>
          </w:tcPr>
          <w:p w14:paraId="7E0834E3" w14:textId="2246DE7F" w:rsidR="008F704E" w:rsidRDefault="00F84405" w:rsidP="00CC2216">
            <w:pPr>
              <w:pStyle w:val="FSTableText"/>
              <w:keepNext/>
              <w:keepLines/>
              <w:tabs>
                <w:tab w:val="decimal" w:pos="1134"/>
              </w:tabs>
              <w:rPr>
                <w:lang w:bidi="ar-SA"/>
              </w:rPr>
            </w:pPr>
            <w:r w:rsidDel="00F84405">
              <w:rPr>
                <w:lang w:bidi="ar-SA"/>
              </w:rPr>
              <w:t xml:space="preserve"> </w:t>
            </w:r>
            <w:r>
              <w:rPr>
                <w:lang w:bidi="ar-SA"/>
              </w:rPr>
              <w:t>*</w:t>
            </w:r>
          </w:p>
        </w:tc>
        <w:tc>
          <w:tcPr>
            <w:tcW w:w="2410" w:type="dxa"/>
          </w:tcPr>
          <w:p w14:paraId="1C243E55" w14:textId="4DFDAA35" w:rsidR="00431531" w:rsidRDefault="00431531" w:rsidP="00CC2216">
            <w:pPr>
              <w:pStyle w:val="FSTableText"/>
              <w:keepNext/>
              <w:keepLines/>
              <w:jc w:val="center"/>
              <w:rPr>
                <w:lang w:bidi="ar-SA"/>
              </w:rPr>
            </w:pPr>
            <w:r>
              <w:rPr>
                <w:lang w:bidi="ar-SA"/>
              </w:rPr>
              <w:t>*</w:t>
            </w:r>
          </w:p>
        </w:tc>
        <w:tc>
          <w:tcPr>
            <w:tcW w:w="2410" w:type="dxa"/>
          </w:tcPr>
          <w:p w14:paraId="1BE1DB2F" w14:textId="5FD630E1" w:rsidR="008F704E" w:rsidRDefault="003A5D4F" w:rsidP="00CC2216">
            <w:pPr>
              <w:pStyle w:val="FSTableText"/>
              <w:keepNext/>
              <w:keepLines/>
              <w:jc w:val="center"/>
              <w:rPr>
                <w:lang w:bidi="ar-SA"/>
              </w:rPr>
            </w:pPr>
            <w:r>
              <w:rPr>
                <w:lang w:bidi="ar-SA"/>
              </w:rPr>
              <w:t>1</w:t>
            </w:r>
            <w:r w:rsidR="00855035">
              <w:rPr>
                <w:lang w:bidi="ar-SA"/>
              </w:rPr>
              <w:t>.00</w:t>
            </w:r>
          </w:p>
        </w:tc>
      </w:tr>
    </w:tbl>
    <w:p w14:paraId="7D5E0E72" w14:textId="6DDD6FF3" w:rsidR="00431531" w:rsidRPr="007C3F42" w:rsidRDefault="00431531" w:rsidP="007C3F42">
      <w:pPr>
        <w:pStyle w:val="Heading5"/>
        <w:spacing w:before="0" w:after="0"/>
        <w:ind w:left="0" w:firstLine="0"/>
        <w:rPr>
          <w:i w:val="0"/>
          <w:sz w:val="18"/>
        </w:rPr>
      </w:pPr>
      <w:r w:rsidRPr="007C3F42">
        <w:rPr>
          <w:i w:val="0"/>
          <w:sz w:val="18"/>
        </w:rPr>
        <w:t>* Th</w:t>
      </w:r>
      <w:r w:rsidR="00A36301" w:rsidRPr="007C3F42">
        <w:rPr>
          <w:i w:val="0"/>
          <w:sz w:val="18"/>
        </w:rPr>
        <w:t>ese results are N/A as limit</w:t>
      </w:r>
      <w:r w:rsidR="00F84405" w:rsidRPr="007C3F42">
        <w:rPr>
          <w:i w:val="0"/>
          <w:sz w:val="18"/>
        </w:rPr>
        <w:t xml:space="preserve"> of detection for arsenic is </w:t>
      </w:r>
      <w:r w:rsidR="0082178D">
        <w:rPr>
          <w:i w:val="0"/>
          <w:sz w:val="18"/>
        </w:rPr>
        <w:t>&lt;</w:t>
      </w:r>
      <w:r w:rsidR="00F84405" w:rsidRPr="007C3F42">
        <w:rPr>
          <w:i w:val="0"/>
          <w:sz w:val="18"/>
        </w:rPr>
        <w:t xml:space="preserve">0.01 and for mercury </w:t>
      </w:r>
      <w:r w:rsidRPr="007C3F42">
        <w:rPr>
          <w:i w:val="0"/>
          <w:sz w:val="18"/>
        </w:rPr>
        <w:t xml:space="preserve">is </w:t>
      </w:r>
      <w:r w:rsidR="0082178D">
        <w:rPr>
          <w:i w:val="0"/>
          <w:sz w:val="18"/>
        </w:rPr>
        <w:t>&lt;</w:t>
      </w:r>
      <w:r w:rsidR="00F84405" w:rsidRPr="007C3F42">
        <w:rPr>
          <w:i w:val="0"/>
          <w:sz w:val="18"/>
        </w:rPr>
        <w:t>0.02</w:t>
      </w:r>
      <w:r w:rsidR="00855035" w:rsidRPr="007C3F42">
        <w:rPr>
          <w:i w:val="0"/>
          <w:sz w:val="18"/>
        </w:rPr>
        <w:t>.</w:t>
      </w:r>
      <w:r w:rsidRPr="007C3F42">
        <w:rPr>
          <w:i w:val="0"/>
          <w:sz w:val="18"/>
        </w:rPr>
        <w:t xml:space="preserve"> </w:t>
      </w:r>
    </w:p>
    <w:p w14:paraId="2FBC0F8D" w14:textId="6A79D719" w:rsidR="00997052" w:rsidRPr="007C3F42" w:rsidRDefault="00997052" w:rsidP="008F6E31">
      <w:pPr>
        <w:rPr>
          <w:sz w:val="18"/>
        </w:rPr>
      </w:pPr>
      <w:r w:rsidRPr="007C3F42">
        <w:rPr>
          <w:sz w:val="18"/>
          <w:lang w:bidi="ar-SA"/>
        </w:rPr>
        <w:t xml:space="preserve">** There were 8 batches and results that contributed to the maximum and mean levels for </w:t>
      </w:r>
      <w:r w:rsidR="00F84405" w:rsidRPr="007C3F42">
        <w:rPr>
          <w:sz w:val="18"/>
          <w:lang w:bidi="ar-SA"/>
        </w:rPr>
        <w:t xml:space="preserve">the metal </w:t>
      </w:r>
      <w:r w:rsidRPr="007C3F42">
        <w:rPr>
          <w:sz w:val="18"/>
          <w:lang w:bidi="ar-SA"/>
        </w:rPr>
        <w:t>lead.</w:t>
      </w:r>
    </w:p>
    <w:p w14:paraId="064B9123" w14:textId="5C031589" w:rsidR="00062BFA" w:rsidRDefault="00062BFA" w:rsidP="00062BFA">
      <w:pPr>
        <w:pStyle w:val="Heading5"/>
      </w:pPr>
      <w:r>
        <w:t>Mycotoxins</w:t>
      </w:r>
    </w:p>
    <w:p w14:paraId="6BB42DE2" w14:textId="6E5EE5B9" w:rsidR="00C43CF9" w:rsidRPr="00C43CF9" w:rsidRDefault="00C43CF9" w:rsidP="00C43CF9">
      <w:pPr>
        <w:rPr>
          <w:lang w:bidi="ar-SA"/>
        </w:rPr>
      </w:pPr>
      <w:r>
        <w:rPr>
          <w:lang w:bidi="ar-SA"/>
        </w:rPr>
        <w:t>The level of mycotoxins</w:t>
      </w:r>
      <w:r w:rsidR="007E7D69">
        <w:rPr>
          <w:lang w:bidi="ar-SA"/>
        </w:rPr>
        <w:t xml:space="preserve"> during processing in the rapeseed </w:t>
      </w:r>
      <w:r w:rsidR="00975C8D">
        <w:rPr>
          <w:lang w:bidi="ar-SA"/>
        </w:rPr>
        <w:t xml:space="preserve">press </w:t>
      </w:r>
      <w:r w:rsidR="007E7D69">
        <w:rPr>
          <w:lang w:bidi="ar-SA"/>
        </w:rPr>
        <w:t>cake (from which rapeseed protein isolate is then obtained) were below limits of quantification except for deoxynivalenol (DON) which was found at a level if 39</w:t>
      </w:r>
      <w:r w:rsidR="008147BE">
        <w:rPr>
          <w:lang w:bidi="ar-SA"/>
        </w:rPr>
        <w:t xml:space="preserve"> </w:t>
      </w:r>
      <w:r w:rsidR="00F87CA4">
        <w:rPr>
          <w:lang w:bidi="ar-SA"/>
        </w:rPr>
        <w:t>mg/kg</w:t>
      </w:r>
      <w:r w:rsidR="00120C60">
        <w:rPr>
          <w:lang w:bidi="ar-SA"/>
        </w:rPr>
        <w:t xml:space="preserve"> </w:t>
      </w:r>
      <w:r w:rsidR="007E7D69">
        <w:rPr>
          <w:lang w:bidi="ar-SA"/>
        </w:rPr>
        <w:t xml:space="preserve">in one batch. However DON was not detected in </w:t>
      </w:r>
      <w:r>
        <w:rPr>
          <w:lang w:bidi="ar-SA"/>
        </w:rPr>
        <w:t xml:space="preserve">the </w:t>
      </w:r>
      <w:r w:rsidR="000D1C52">
        <w:rPr>
          <w:lang w:bidi="ar-SA"/>
        </w:rPr>
        <w:t xml:space="preserve">applicant’s </w:t>
      </w:r>
      <w:r w:rsidR="00F87CA4">
        <w:rPr>
          <w:lang w:bidi="ar-SA"/>
        </w:rPr>
        <w:t xml:space="preserve">final </w:t>
      </w:r>
      <w:r w:rsidR="007E7D69">
        <w:rPr>
          <w:lang w:bidi="ar-SA"/>
        </w:rPr>
        <w:t xml:space="preserve">product, </w:t>
      </w:r>
      <w:r>
        <w:rPr>
          <w:lang w:bidi="ar-SA"/>
        </w:rPr>
        <w:t>CanolaPRO.</w:t>
      </w:r>
    </w:p>
    <w:p w14:paraId="03FAEBD2" w14:textId="3A6D6E31" w:rsidR="00062BFA" w:rsidRDefault="00062BFA" w:rsidP="00062BFA">
      <w:pPr>
        <w:pStyle w:val="Heading5"/>
      </w:pPr>
      <w:r>
        <w:t>Pesticides</w:t>
      </w:r>
    </w:p>
    <w:p w14:paraId="13291223" w14:textId="0E4B774A" w:rsidR="00C43CF9" w:rsidRPr="00C43CF9" w:rsidRDefault="00C43CF9" w:rsidP="00C43CF9">
      <w:pPr>
        <w:rPr>
          <w:lang w:bidi="ar-SA"/>
        </w:rPr>
      </w:pPr>
      <w:r>
        <w:rPr>
          <w:lang w:bidi="ar-SA"/>
        </w:rPr>
        <w:t xml:space="preserve">Screening </w:t>
      </w:r>
      <w:r w:rsidR="00081C8C">
        <w:rPr>
          <w:lang w:bidi="ar-SA"/>
        </w:rPr>
        <w:t>the</w:t>
      </w:r>
      <w:r w:rsidR="008147BE">
        <w:rPr>
          <w:lang w:bidi="ar-SA"/>
        </w:rPr>
        <w:t xml:space="preserve"> applicant’s </w:t>
      </w:r>
      <w:r w:rsidR="002017B1">
        <w:rPr>
          <w:lang w:bidi="ar-SA"/>
        </w:rPr>
        <w:t xml:space="preserve">rapeseed protein </w:t>
      </w:r>
      <w:r w:rsidR="008147BE">
        <w:rPr>
          <w:lang w:bidi="ar-SA"/>
        </w:rPr>
        <w:t xml:space="preserve">isolate </w:t>
      </w:r>
      <w:r>
        <w:rPr>
          <w:lang w:bidi="ar-SA"/>
        </w:rPr>
        <w:t xml:space="preserve">for </w:t>
      </w:r>
      <w:r w:rsidR="002017B1">
        <w:rPr>
          <w:lang w:bidi="ar-SA"/>
        </w:rPr>
        <w:t xml:space="preserve">over 600 </w:t>
      </w:r>
      <w:r>
        <w:rPr>
          <w:lang w:bidi="ar-SA"/>
        </w:rPr>
        <w:t xml:space="preserve">pesticides </w:t>
      </w:r>
      <w:r w:rsidR="002017B1">
        <w:rPr>
          <w:lang w:bidi="ar-SA"/>
        </w:rPr>
        <w:t xml:space="preserve">from an independent laboratory </w:t>
      </w:r>
      <w:r>
        <w:rPr>
          <w:lang w:bidi="ar-SA"/>
        </w:rPr>
        <w:t xml:space="preserve">using </w:t>
      </w:r>
      <w:r w:rsidR="008147BE">
        <w:rPr>
          <w:lang w:bidi="ar-SA"/>
        </w:rPr>
        <w:t>gas chromatography</w:t>
      </w:r>
      <w:r>
        <w:rPr>
          <w:lang w:bidi="ar-SA"/>
        </w:rPr>
        <w:t>-</w:t>
      </w:r>
      <w:r w:rsidR="008147BE">
        <w:rPr>
          <w:lang w:bidi="ar-SA"/>
        </w:rPr>
        <w:t>mass spectrometry</w:t>
      </w:r>
      <w:r>
        <w:rPr>
          <w:lang w:bidi="ar-SA"/>
        </w:rPr>
        <w:t xml:space="preserve"> and </w:t>
      </w:r>
      <w:r w:rsidR="008147BE">
        <w:rPr>
          <w:lang w:bidi="ar-SA"/>
        </w:rPr>
        <w:t>liquid chromatography–mass spectrometry</w:t>
      </w:r>
      <w:r>
        <w:rPr>
          <w:lang w:bidi="ar-SA"/>
        </w:rPr>
        <w:t xml:space="preserve"> </w:t>
      </w:r>
      <w:r w:rsidR="002017B1">
        <w:rPr>
          <w:lang w:bidi="ar-SA"/>
        </w:rPr>
        <w:t xml:space="preserve">indicated there were no </w:t>
      </w:r>
      <w:r w:rsidR="007E7D69">
        <w:rPr>
          <w:lang w:bidi="ar-SA"/>
        </w:rPr>
        <w:t xml:space="preserve">pesticide </w:t>
      </w:r>
      <w:r w:rsidR="002017B1">
        <w:rPr>
          <w:lang w:bidi="ar-SA"/>
        </w:rPr>
        <w:t>residues of concern</w:t>
      </w:r>
      <w:r w:rsidR="00F87CA4">
        <w:rPr>
          <w:lang w:bidi="ar-SA"/>
        </w:rPr>
        <w:t>. Results</w:t>
      </w:r>
      <w:r w:rsidR="002017B1">
        <w:rPr>
          <w:lang w:bidi="ar-SA"/>
        </w:rPr>
        <w:t xml:space="preserve"> were also below levels of quantification of 0.01</w:t>
      </w:r>
      <w:r w:rsidR="00C57D5B">
        <w:rPr>
          <w:lang w:bidi="ar-SA"/>
        </w:rPr>
        <w:t xml:space="preserve"> </w:t>
      </w:r>
      <w:r w:rsidR="00F87CA4">
        <w:rPr>
          <w:lang w:bidi="ar-SA"/>
        </w:rPr>
        <w:t>mg/kg</w:t>
      </w:r>
      <w:r w:rsidR="002017B1">
        <w:rPr>
          <w:lang w:bidi="ar-SA"/>
        </w:rPr>
        <w:t>, the default maximum residue limit for the EU</w:t>
      </w:r>
      <w:r w:rsidR="007E7D69">
        <w:rPr>
          <w:lang w:bidi="ar-SA"/>
        </w:rPr>
        <w:t xml:space="preserve"> in Regulation (EC) No 396/2005</w:t>
      </w:r>
      <w:r w:rsidR="002017B1">
        <w:rPr>
          <w:lang w:bidi="ar-SA"/>
        </w:rPr>
        <w:t xml:space="preserve">. </w:t>
      </w:r>
      <w:r w:rsidR="008147BE">
        <w:rPr>
          <w:lang w:bidi="ar-SA"/>
        </w:rPr>
        <w:t>The applicant’s s</w:t>
      </w:r>
      <w:r w:rsidR="002017B1">
        <w:rPr>
          <w:lang w:bidi="ar-SA"/>
        </w:rPr>
        <w:t>uppliers also provide</w:t>
      </w:r>
      <w:r w:rsidR="000F1F91">
        <w:rPr>
          <w:lang w:bidi="ar-SA"/>
        </w:rPr>
        <w:t>d</w:t>
      </w:r>
      <w:r w:rsidR="002017B1">
        <w:rPr>
          <w:lang w:bidi="ar-SA"/>
        </w:rPr>
        <w:t xml:space="preserve"> confirmation of compliance with relevant requirements for pesticide residues.</w:t>
      </w:r>
    </w:p>
    <w:p w14:paraId="1327AA13" w14:textId="6ABB6424" w:rsidR="00062BFA" w:rsidRDefault="00062BFA" w:rsidP="00062BFA">
      <w:pPr>
        <w:pStyle w:val="Heading5"/>
      </w:pPr>
      <w:r>
        <w:t>Microbiological</w:t>
      </w:r>
    </w:p>
    <w:p w14:paraId="0BB6668B" w14:textId="1B6B5A01" w:rsidR="00C22571" w:rsidRDefault="00C43CF9" w:rsidP="00C22571">
      <w:pPr>
        <w:rPr>
          <w:lang w:bidi="ar-SA"/>
        </w:rPr>
      </w:pPr>
      <w:r>
        <w:rPr>
          <w:lang w:bidi="ar-SA"/>
        </w:rPr>
        <w:t>The r</w:t>
      </w:r>
      <w:r w:rsidR="001231DA">
        <w:rPr>
          <w:lang w:bidi="ar-SA"/>
        </w:rPr>
        <w:t>apeseed press cake</w:t>
      </w:r>
      <w:r w:rsidR="00314B0F">
        <w:rPr>
          <w:lang w:bidi="ar-SA"/>
        </w:rPr>
        <w:t>,</w:t>
      </w:r>
      <w:r w:rsidR="00314B0F" w:rsidRPr="00314B0F">
        <w:rPr>
          <w:lang w:bidi="ar-SA"/>
        </w:rPr>
        <w:t xml:space="preserve"> a co-product from the oil extraction process</w:t>
      </w:r>
      <w:r w:rsidR="00E04672">
        <w:rPr>
          <w:lang w:bidi="ar-SA"/>
        </w:rPr>
        <w:t xml:space="preserve"> from which rapeseed protein isolate is </w:t>
      </w:r>
      <w:r w:rsidR="000D1C52">
        <w:rPr>
          <w:lang w:bidi="ar-SA"/>
        </w:rPr>
        <w:t>obtained</w:t>
      </w:r>
      <w:r w:rsidR="002238E9">
        <w:rPr>
          <w:lang w:bidi="ar-SA"/>
        </w:rPr>
        <w:t>,</w:t>
      </w:r>
      <w:r w:rsidR="00AF2B6C">
        <w:rPr>
          <w:lang w:bidi="ar-SA"/>
        </w:rPr>
        <w:t xml:space="preserve"> </w:t>
      </w:r>
      <w:r w:rsidR="000D1C52">
        <w:rPr>
          <w:lang w:bidi="ar-SA"/>
        </w:rPr>
        <w:t xml:space="preserve">is </w:t>
      </w:r>
      <w:r w:rsidR="000F6AE1">
        <w:rPr>
          <w:lang w:bidi="ar-SA"/>
        </w:rPr>
        <w:t>monitored for microbiological contaminants</w:t>
      </w:r>
      <w:r w:rsidR="00C80A46">
        <w:rPr>
          <w:lang w:bidi="ar-SA"/>
        </w:rPr>
        <w:t xml:space="preserve"> including Salmonella</w:t>
      </w:r>
      <w:r w:rsidR="000F6AE1">
        <w:rPr>
          <w:lang w:bidi="ar-SA"/>
        </w:rPr>
        <w:t>.</w:t>
      </w:r>
      <w:r w:rsidR="00D626F8">
        <w:rPr>
          <w:lang w:bidi="ar-SA"/>
        </w:rPr>
        <w:t xml:space="preserve"> Although the m</w:t>
      </w:r>
      <w:r w:rsidR="000F6AE1">
        <w:rPr>
          <w:lang w:bidi="ar-SA"/>
        </w:rPr>
        <w:t xml:space="preserve">anufacturing </w:t>
      </w:r>
      <w:r w:rsidR="00D626F8">
        <w:rPr>
          <w:lang w:bidi="ar-SA"/>
        </w:rPr>
        <w:t xml:space="preserve">process </w:t>
      </w:r>
      <w:r w:rsidR="000F6AE1">
        <w:rPr>
          <w:lang w:bidi="ar-SA"/>
        </w:rPr>
        <w:t xml:space="preserve">contains </w:t>
      </w:r>
      <w:r w:rsidR="001F4981">
        <w:rPr>
          <w:lang w:bidi="ar-SA"/>
        </w:rPr>
        <w:t xml:space="preserve">temperature control </w:t>
      </w:r>
      <w:r w:rsidR="000F6AE1">
        <w:rPr>
          <w:lang w:bidi="ar-SA"/>
        </w:rPr>
        <w:t>to assist with ma</w:t>
      </w:r>
      <w:r w:rsidR="00D626F8">
        <w:rPr>
          <w:lang w:bidi="ar-SA"/>
        </w:rPr>
        <w:t>naging the microbiological load</w:t>
      </w:r>
      <w:r w:rsidR="0056609F">
        <w:rPr>
          <w:lang w:bidi="ar-SA"/>
        </w:rPr>
        <w:t>,</w:t>
      </w:r>
      <w:r w:rsidR="00D626F8">
        <w:rPr>
          <w:lang w:bidi="ar-SA"/>
        </w:rPr>
        <w:t xml:space="preserve"> there are no microbiological reduction steps in the manufacturing process. </w:t>
      </w:r>
      <w:r w:rsidR="00C22571">
        <w:rPr>
          <w:lang w:bidi="ar-SA"/>
        </w:rPr>
        <w:t xml:space="preserve">The processing temperature of the wet-processing production stages up to spray drying (refer to Figure 2.1) are maintained at temperatures were </w:t>
      </w:r>
      <w:r w:rsidR="00C22571" w:rsidRPr="00504F0F">
        <w:rPr>
          <w:i/>
          <w:lang w:bidi="ar-SA"/>
        </w:rPr>
        <w:t>Salmonella</w:t>
      </w:r>
      <w:r w:rsidR="00C22571">
        <w:rPr>
          <w:lang w:bidi="ar-SA"/>
        </w:rPr>
        <w:t xml:space="preserve"> spp. are not able to grow (DSM, Submission for A1175).</w:t>
      </w:r>
    </w:p>
    <w:p w14:paraId="3D779F32" w14:textId="6F888E7A" w:rsidR="00914805" w:rsidRDefault="00C22571" w:rsidP="00C22571">
      <w:pPr>
        <w:rPr>
          <w:lang w:bidi="ar-SA"/>
        </w:rPr>
      </w:pPr>
      <w:r>
        <w:rPr>
          <w:lang w:bidi="ar-SA"/>
        </w:rPr>
        <w:t xml:space="preserve"> </w:t>
      </w:r>
      <w:r w:rsidR="00D626F8">
        <w:rPr>
          <w:lang w:bidi="ar-SA"/>
        </w:rPr>
        <w:t>The</w:t>
      </w:r>
      <w:r w:rsidR="000F6AE1">
        <w:rPr>
          <w:lang w:bidi="ar-SA"/>
        </w:rPr>
        <w:t xml:space="preserve"> final </w:t>
      </w:r>
      <w:r w:rsidR="00D626F8">
        <w:rPr>
          <w:lang w:bidi="ar-SA"/>
        </w:rPr>
        <w:t>product is tested against</w:t>
      </w:r>
      <w:r w:rsidR="00B04CB0">
        <w:rPr>
          <w:lang w:bidi="ar-SA"/>
        </w:rPr>
        <w:t xml:space="preserve"> </w:t>
      </w:r>
      <w:r w:rsidR="001231DA">
        <w:rPr>
          <w:lang w:bidi="ar-SA"/>
        </w:rPr>
        <w:t>m</w:t>
      </w:r>
      <w:r w:rsidR="00B04CB0">
        <w:rPr>
          <w:lang w:bidi="ar-SA"/>
        </w:rPr>
        <w:t>icrobiological parameters</w:t>
      </w:r>
      <w:r w:rsidR="009A21D7" w:rsidDel="00D92AC8">
        <w:rPr>
          <w:lang w:bidi="ar-SA"/>
        </w:rPr>
        <w:t xml:space="preserve"> </w:t>
      </w:r>
      <w:r w:rsidR="00340FC4">
        <w:rPr>
          <w:lang w:bidi="ar-SA"/>
        </w:rPr>
        <w:t xml:space="preserve">established by the applicant </w:t>
      </w:r>
      <w:r w:rsidR="009A425C">
        <w:rPr>
          <w:lang w:bidi="ar-SA"/>
        </w:rPr>
        <w:t>for total plate count</w:t>
      </w:r>
      <w:r w:rsidR="009A21D7">
        <w:rPr>
          <w:lang w:bidi="ar-SA"/>
        </w:rPr>
        <w:t>.</w:t>
      </w:r>
      <w:bookmarkStart w:id="189" w:name="_Toc38549483"/>
      <w:bookmarkStart w:id="190" w:name="_Toc38634141"/>
      <w:bookmarkStart w:id="191" w:name="_Toc39571013"/>
      <w:bookmarkStart w:id="192" w:name="_Toc39579268"/>
      <w:bookmarkStart w:id="193" w:name="_Toc39579331"/>
      <w:bookmarkStart w:id="194" w:name="_Toc39587089"/>
      <w:bookmarkStart w:id="195" w:name="_Toc39582481"/>
      <w:r w:rsidR="009E7345">
        <w:rPr>
          <w:lang w:bidi="ar-SA"/>
        </w:rPr>
        <w:t xml:space="preserve"> Refer to section</w:t>
      </w:r>
      <w:r w:rsidR="00CD6F6E">
        <w:rPr>
          <w:lang w:bidi="ar-SA"/>
        </w:rPr>
        <w:t xml:space="preserve"> 3 for details on the microbiological assessment.</w:t>
      </w:r>
    </w:p>
    <w:p w14:paraId="15F11BE8" w14:textId="58B603BB" w:rsidR="004A26DB" w:rsidRDefault="00914805" w:rsidP="00E41BD5">
      <w:pPr>
        <w:pStyle w:val="Heading2"/>
      </w:pPr>
      <w:bookmarkStart w:id="196" w:name="_Toc40264896"/>
      <w:bookmarkStart w:id="197" w:name="_Toc40266372"/>
      <w:bookmarkStart w:id="198" w:name="_Toc40279704"/>
      <w:bookmarkStart w:id="199" w:name="_Toc40282006"/>
      <w:bookmarkStart w:id="200" w:name="_Toc40282167"/>
      <w:bookmarkStart w:id="201" w:name="_Toc40360498"/>
      <w:bookmarkStart w:id="202" w:name="_Toc40366888"/>
      <w:bookmarkStart w:id="203" w:name="_Toc40368220"/>
      <w:bookmarkStart w:id="204" w:name="_Toc40382827"/>
      <w:bookmarkStart w:id="205" w:name="_Toc40431028"/>
      <w:bookmarkStart w:id="206" w:name="_Toc40432966"/>
      <w:bookmarkStart w:id="207" w:name="_Toc40447651"/>
      <w:bookmarkStart w:id="208" w:name="_Toc40441180"/>
      <w:bookmarkStart w:id="209" w:name="_Toc40448516"/>
      <w:bookmarkStart w:id="210" w:name="_Toc40449943"/>
      <w:bookmarkStart w:id="211" w:name="_Toc40968288"/>
      <w:bookmarkStart w:id="212" w:name="_Toc41051010"/>
      <w:bookmarkStart w:id="213" w:name="_Toc41046010"/>
      <w:bookmarkStart w:id="214" w:name="_Toc41053468"/>
      <w:bookmarkStart w:id="215" w:name="_Toc44592639"/>
      <w:bookmarkStart w:id="216" w:name="_Toc44596151"/>
      <w:bookmarkStart w:id="217" w:name="_Toc44604546"/>
      <w:bookmarkStart w:id="218" w:name="_Toc54169695"/>
      <w:bookmarkStart w:id="219" w:name="_Toc56089984"/>
      <w:r>
        <w:t>2.3</w:t>
      </w:r>
      <w:r w:rsidR="005021AA">
        <w:tab/>
      </w:r>
      <w:r w:rsidR="00311FA5">
        <w:t>Technological purpose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35105BE" w14:textId="77777777" w:rsidR="00951203" w:rsidRDefault="00847643" w:rsidP="00951203">
      <w:pPr>
        <w:rPr>
          <w:lang w:bidi="ar-SA"/>
        </w:rPr>
      </w:pPr>
      <w:r>
        <w:rPr>
          <w:lang w:bidi="ar-SA"/>
        </w:rPr>
        <w:t>The technological p</w:t>
      </w:r>
      <w:r w:rsidR="009325E6">
        <w:rPr>
          <w:lang w:bidi="ar-SA"/>
        </w:rPr>
        <w:t xml:space="preserve">urpose of rapeseed protein </w:t>
      </w:r>
      <w:r w:rsidR="00B83CDF">
        <w:rPr>
          <w:lang w:bidi="ar-SA"/>
        </w:rPr>
        <w:t xml:space="preserve">isolate is </w:t>
      </w:r>
      <w:r w:rsidR="000E5657" w:rsidRPr="000E5657" w:rsidDel="00D163B5">
        <w:rPr>
          <w:lang w:bidi="ar-SA"/>
        </w:rPr>
        <w:t xml:space="preserve">to replace </w:t>
      </w:r>
      <w:r w:rsidR="000E5657" w:rsidRPr="000E5657">
        <w:rPr>
          <w:lang w:bidi="ar-SA"/>
        </w:rPr>
        <w:t xml:space="preserve">protein from </w:t>
      </w:r>
      <w:r w:rsidR="0038438B">
        <w:rPr>
          <w:lang w:bidi="ar-SA"/>
        </w:rPr>
        <w:t xml:space="preserve">animal and </w:t>
      </w:r>
      <w:r w:rsidR="000E5657" w:rsidRPr="000E5657">
        <w:rPr>
          <w:lang w:bidi="ar-SA"/>
        </w:rPr>
        <w:t xml:space="preserve">other </w:t>
      </w:r>
      <w:r w:rsidR="0038438B">
        <w:rPr>
          <w:lang w:bidi="ar-SA"/>
        </w:rPr>
        <w:t>plant</w:t>
      </w:r>
      <w:r w:rsidR="0038438B" w:rsidRPr="000E5657">
        <w:rPr>
          <w:lang w:bidi="ar-SA"/>
        </w:rPr>
        <w:t xml:space="preserve"> </w:t>
      </w:r>
      <w:r w:rsidR="000E5657" w:rsidRPr="000E5657">
        <w:rPr>
          <w:lang w:bidi="ar-SA"/>
        </w:rPr>
        <w:t>sources</w:t>
      </w:r>
      <w:r w:rsidR="00C0523B">
        <w:rPr>
          <w:lang w:bidi="ar-SA"/>
        </w:rPr>
        <w:t>, including for use in new product development</w:t>
      </w:r>
      <w:r w:rsidR="000E5657" w:rsidRPr="000E5657">
        <w:rPr>
          <w:lang w:bidi="ar-SA"/>
        </w:rPr>
        <w:t xml:space="preserve"> </w:t>
      </w:r>
      <w:r w:rsidR="009325E6">
        <w:rPr>
          <w:lang w:bidi="ar-SA"/>
        </w:rPr>
        <w:t>in a range of food</w:t>
      </w:r>
      <w:r w:rsidR="00930C7C">
        <w:rPr>
          <w:lang w:bidi="ar-SA"/>
        </w:rPr>
        <w:t xml:space="preserve"> classes</w:t>
      </w:r>
      <w:r w:rsidR="0056609F">
        <w:rPr>
          <w:lang w:bidi="ar-SA"/>
        </w:rPr>
        <w:t xml:space="preserve">. </w:t>
      </w:r>
      <w:r w:rsidR="00910E34">
        <w:rPr>
          <w:lang w:bidi="ar-SA"/>
        </w:rPr>
        <w:t>Proposed</w:t>
      </w:r>
      <w:r w:rsidR="003D67C8">
        <w:rPr>
          <w:lang w:bidi="ar-SA"/>
        </w:rPr>
        <w:t xml:space="preserve"> typical use levels </w:t>
      </w:r>
      <w:r w:rsidR="00910E34">
        <w:rPr>
          <w:lang w:bidi="ar-SA"/>
        </w:rPr>
        <w:t>range</w:t>
      </w:r>
      <w:r w:rsidR="00914805">
        <w:rPr>
          <w:lang w:bidi="ar-SA"/>
        </w:rPr>
        <w:t xml:space="preserve"> </w:t>
      </w:r>
      <w:r w:rsidR="009325E6">
        <w:rPr>
          <w:lang w:bidi="ar-SA"/>
        </w:rPr>
        <w:t xml:space="preserve">from </w:t>
      </w:r>
      <w:r w:rsidR="00A72F18">
        <w:rPr>
          <w:lang w:bidi="ar-SA"/>
        </w:rPr>
        <w:t>2</w:t>
      </w:r>
      <w:r w:rsidR="0056609F">
        <w:rPr>
          <w:lang w:bidi="ar-SA"/>
        </w:rPr>
        <w:t>%</w:t>
      </w:r>
      <w:r w:rsidR="00B636F0">
        <w:rPr>
          <w:lang w:bidi="ar-SA"/>
        </w:rPr>
        <w:t xml:space="preserve"> to </w:t>
      </w:r>
      <w:r w:rsidR="00A72F18">
        <w:rPr>
          <w:lang w:bidi="ar-SA"/>
        </w:rPr>
        <w:t>10</w:t>
      </w:r>
      <w:r w:rsidR="00910E34">
        <w:rPr>
          <w:lang w:bidi="ar-SA"/>
        </w:rPr>
        <w:t>% and proposed</w:t>
      </w:r>
      <w:r w:rsidR="00951203">
        <w:rPr>
          <w:lang w:bidi="ar-SA"/>
        </w:rPr>
        <w:t xml:space="preserve"> maximum use levels are up to 30%. </w:t>
      </w:r>
    </w:p>
    <w:p w14:paraId="7EE49813" w14:textId="77777777" w:rsidR="00351AB4" w:rsidRDefault="00351AB4" w:rsidP="00062BFA">
      <w:pPr>
        <w:rPr>
          <w:lang w:bidi="ar-SA"/>
        </w:rPr>
      </w:pPr>
    </w:p>
    <w:p w14:paraId="69D72754" w14:textId="7BA55022" w:rsidR="00847643" w:rsidRDefault="00847643" w:rsidP="00524024">
      <w:pPr>
        <w:rPr>
          <w:lang w:bidi="ar-SA"/>
        </w:rPr>
      </w:pPr>
      <w:r>
        <w:rPr>
          <w:lang w:bidi="ar-SA"/>
        </w:rPr>
        <w:t xml:space="preserve">The </w:t>
      </w:r>
      <w:r w:rsidR="0056609F">
        <w:rPr>
          <w:lang w:bidi="ar-SA"/>
        </w:rPr>
        <w:t>S</w:t>
      </w:r>
      <w:r w:rsidR="000E5657">
        <w:rPr>
          <w:lang w:bidi="ar-SA"/>
        </w:rPr>
        <w:t xml:space="preserve">chedule </w:t>
      </w:r>
      <w:r w:rsidR="0056609F">
        <w:rPr>
          <w:lang w:bidi="ar-SA"/>
        </w:rPr>
        <w:t xml:space="preserve">15 </w:t>
      </w:r>
      <w:r w:rsidR="000D1C52">
        <w:rPr>
          <w:lang w:bidi="ar-SA"/>
        </w:rPr>
        <w:t xml:space="preserve">food </w:t>
      </w:r>
      <w:r w:rsidR="003F52BA">
        <w:rPr>
          <w:lang w:bidi="ar-SA"/>
        </w:rPr>
        <w:t>cla</w:t>
      </w:r>
      <w:r w:rsidR="00AF2B6C">
        <w:rPr>
          <w:lang w:bidi="ar-SA"/>
        </w:rPr>
        <w:t>s</w:t>
      </w:r>
      <w:r w:rsidR="003F52BA">
        <w:rPr>
          <w:lang w:bidi="ar-SA"/>
        </w:rPr>
        <w:t xml:space="preserve">ses </w:t>
      </w:r>
      <w:r w:rsidR="0056609F">
        <w:rPr>
          <w:lang w:bidi="ar-SA"/>
        </w:rPr>
        <w:t xml:space="preserve">the applicant is </w:t>
      </w:r>
      <w:r w:rsidR="000F1F91">
        <w:rPr>
          <w:lang w:bidi="ar-SA"/>
        </w:rPr>
        <w:t>proposing to use rapeseed protein isolate in as a protein source</w:t>
      </w:r>
      <w:r w:rsidR="0056609F">
        <w:rPr>
          <w:lang w:bidi="ar-SA"/>
        </w:rPr>
        <w:t xml:space="preserve">, </w:t>
      </w:r>
      <w:r w:rsidR="000D1C52">
        <w:rPr>
          <w:lang w:bidi="ar-SA"/>
        </w:rPr>
        <w:t xml:space="preserve">together with examples </w:t>
      </w:r>
      <w:r>
        <w:rPr>
          <w:lang w:bidi="ar-SA"/>
        </w:rPr>
        <w:t xml:space="preserve">and </w:t>
      </w:r>
      <w:r w:rsidR="000F1F91">
        <w:rPr>
          <w:lang w:bidi="ar-SA"/>
        </w:rPr>
        <w:t xml:space="preserve">the typical and maximum </w:t>
      </w:r>
      <w:r>
        <w:rPr>
          <w:lang w:bidi="ar-SA"/>
        </w:rPr>
        <w:t xml:space="preserve">use levels are </w:t>
      </w:r>
      <w:r w:rsidR="000F1F91">
        <w:rPr>
          <w:lang w:bidi="ar-SA"/>
        </w:rPr>
        <w:t xml:space="preserve">included </w:t>
      </w:r>
      <w:r w:rsidR="00633A3B">
        <w:rPr>
          <w:lang w:bidi="ar-SA"/>
        </w:rPr>
        <w:t>in Table</w:t>
      </w:r>
      <w:r w:rsidR="0024721E">
        <w:rPr>
          <w:lang w:bidi="ar-SA"/>
        </w:rPr>
        <w:t> </w:t>
      </w:r>
      <w:r w:rsidR="00B33F79">
        <w:rPr>
          <w:lang w:bidi="ar-SA"/>
        </w:rPr>
        <w:t>2.</w:t>
      </w:r>
      <w:r w:rsidR="009142E2">
        <w:rPr>
          <w:lang w:bidi="ar-SA"/>
        </w:rPr>
        <w:t>2</w:t>
      </w:r>
      <w:r w:rsidR="0024721E">
        <w:rPr>
          <w:lang w:bidi="ar-SA"/>
        </w:rPr>
        <w:t>.</w:t>
      </w:r>
      <w:r w:rsidR="005021AA">
        <w:rPr>
          <w:lang w:bidi="ar-SA"/>
        </w:rPr>
        <w:br w:type="page"/>
      </w:r>
    </w:p>
    <w:p w14:paraId="04096C4F" w14:textId="5E763B38" w:rsidR="00847643" w:rsidRPr="005021AA" w:rsidRDefault="00633A3B" w:rsidP="00AA1CEA">
      <w:pPr>
        <w:pStyle w:val="FSTableTitle"/>
        <w:keepNext/>
        <w:keepLines/>
        <w:rPr>
          <w:b w:val="0"/>
          <w:i/>
          <w:lang w:bidi="ar-SA"/>
        </w:rPr>
      </w:pPr>
      <w:r w:rsidRPr="005021AA">
        <w:rPr>
          <w:i/>
          <w:lang w:bidi="ar-SA"/>
        </w:rPr>
        <w:t xml:space="preserve">Table </w:t>
      </w:r>
      <w:r w:rsidR="00B33F79" w:rsidRPr="005021AA">
        <w:rPr>
          <w:i/>
          <w:lang w:bidi="ar-SA"/>
        </w:rPr>
        <w:t>2.</w:t>
      </w:r>
      <w:r w:rsidR="009142E2" w:rsidRPr="005021AA">
        <w:rPr>
          <w:i/>
          <w:lang w:bidi="ar-SA"/>
        </w:rPr>
        <w:t>2</w:t>
      </w:r>
      <w:r w:rsidR="005021AA" w:rsidRPr="005021AA">
        <w:rPr>
          <w:i/>
          <w:lang w:bidi="ar-SA"/>
        </w:rPr>
        <w:tab/>
      </w:r>
      <w:r w:rsidR="00914707" w:rsidRPr="005021AA">
        <w:rPr>
          <w:b w:val="0"/>
          <w:i/>
          <w:lang w:bidi="ar-SA"/>
        </w:rPr>
        <w:t>R</w:t>
      </w:r>
      <w:r w:rsidR="00847643" w:rsidRPr="005021AA">
        <w:rPr>
          <w:b w:val="0"/>
          <w:i/>
          <w:lang w:bidi="ar-SA"/>
        </w:rPr>
        <w:t>apeseed protein</w:t>
      </w:r>
      <w:r w:rsidR="00D47156" w:rsidRPr="005021AA">
        <w:rPr>
          <w:b w:val="0"/>
          <w:i/>
          <w:lang w:bidi="ar-SA"/>
        </w:rPr>
        <w:t xml:space="preserve"> isolate </w:t>
      </w:r>
      <w:r w:rsidR="00914707" w:rsidRPr="005021AA">
        <w:rPr>
          <w:b w:val="0"/>
          <w:i/>
          <w:lang w:bidi="ar-SA"/>
        </w:rPr>
        <w:t xml:space="preserve">use </w:t>
      </w:r>
      <w:r w:rsidR="00D47156" w:rsidRPr="005021AA">
        <w:rPr>
          <w:b w:val="0"/>
          <w:i/>
          <w:lang w:bidi="ar-SA"/>
        </w:rPr>
        <w:t>as a protein source</w:t>
      </w:r>
      <w:r w:rsidR="00847643" w:rsidRPr="005021AA">
        <w:rPr>
          <w:b w:val="0"/>
          <w:i/>
          <w:lang w:bidi="ar-SA"/>
        </w:rPr>
        <w:t xml:space="preserve"> in food </w:t>
      </w:r>
      <w:r w:rsidR="000958CA" w:rsidRPr="005021AA">
        <w:rPr>
          <w:b w:val="0"/>
          <w:i/>
          <w:lang w:bidi="ar-SA"/>
        </w:rPr>
        <w:t>classes</w:t>
      </w:r>
      <w:r w:rsidR="00914707" w:rsidRPr="005021AA">
        <w:rPr>
          <w:b w:val="0"/>
          <w:i/>
          <w:lang w:bidi="ar-SA"/>
        </w:rPr>
        <w:t xml:space="preserve">, </w:t>
      </w:r>
      <w:r w:rsidR="00290CFC">
        <w:rPr>
          <w:b w:val="0"/>
          <w:i/>
          <w:lang w:bidi="ar-SA"/>
        </w:rPr>
        <w:t xml:space="preserve">typical and </w:t>
      </w:r>
      <w:r w:rsidR="00847643" w:rsidRPr="005021AA">
        <w:rPr>
          <w:b w:val="0"/>
          <w:i/>
          <w:lang w:bidi="ar-SA"/>
        </w:rPr>
        <w:t xml:space="preserve">maximum </w:t>
      </w:r>
      <w:r w:rsidR="005F4823" w:rsidRPr="005021AA">
        <w:rPr>
          <w:b w:val="0"/>
          <w:i/>
          <w:lang w:bidi="ar-SA"/>
        </w:rPr>
        <w:t>use levels (%)</w:t>
      </w:r>
    </w:p>
    <w:p w14:paraId="11C57097" w14:textId="059B5951" w:rsidR="005021AA" w:rsidRPr="005021AA" w:rsidRDefault="005021AA" w:rsidP="005021AA">
      <w:pPr>
        <w:rPr>
          <w:lang w:bidi="ar-SA"/>
        </w:rPr>
      </w:pPr>
    </w:p>
    <w:tbl>
      <w:tblPr>
        <w:tblStyle w:val="TableGrid"/>
        <w:tblW w:w="0" w:type="auto"/>
        <w:tblLook w:val="04A0" w:firstRow="1" w:lastRow="0" w:firstColumn="1" w:lastColumn="0" w:noHBand="0" w:noVBand="1"/>
        <w:tblCaption w:val="Use of rapeseed protein isolate as a protein source  in food cateogries and maximum use levels"/>
        <w:tblDescription w:val="Table 2.2 includes 3 columns, the first is food classes and then examples of the foods rapeseed protein isolates is used in. The proposed maximum use level for each food category is included and ranges from 5 to a maximum of 30%"/>
      </w:tblPr>
      <w:tblGrid>
        <w:gridCol w:w="2394"/>
        <w:gridCol w:w="2763"/>
        <w:gridCol w:w="1794"/>
        <w:gridCol w:w="2109"/>
      </w:tblGrid>
      <w:tr w:rsidR="00F77A3B" w14:paraId="5A51932C" w14:textId="77777777" w:rsidTr="00BD17E5">
        <w:tc>
          <w:tcPr>
            <w:tcW w:w="2394" w:type="dxa"/>
          </w:tcPr>
          <w:p w14:paraId="4C3A5E7E" w14:textId="2CB243D6" w:rsidR="00F77A3B" w:rsidRDefault="00F77A3B" w:rsidP="00FF3A58">
            <w:pPr>
              <w:pStyle w:val="FSTableHeading"/>
              <w:keepNext/>
              <w:keepLines/>
              <w:rPr>
                <w:lang w:bidi="ar-SA"/>
              </w:rPr>
            </w:pPr>
            <w:r>
              <w:rPr>
                <w:lang w:bidi="ar-SA"/>
              </w:rPr>
              <w:t>Food class</w:t>
            </w:r>
          </w:p>
        </w:tc>
        <w:tc>
          <w:tcPr>
            <w:tcW w:w="2763" w:type="dxa"/>
          </w:tcPr>
          <w:p w14:paraId="7647DE2A" w14:textId="2FEBC9EF" w:rsidR="00F77A3B" w:rsidRDefault="00F77A3B" w:rsidP="00FF3A58">
            <w:pPr>
              <w:pStyle w:val="FSTableHeading"/>
              <w:keepNext/>
              <w:keepLines/>
              <w:rPr>
                <w:lang w:bidi="ar-SA"/>
              </w:rPr>
            </w:pPr>
            <w:r>
              <w:rPr>
                <w:lang w:bidi="ar-SA"/>
              </w:rPr>
              <w:t>Examples</w:t>
            </w:r>
          </w:p>
        </w:tc>
        <w:tc>
          <w:tcPr>
            <w:tcW w:w="1794" w:type="dxa"/>
          </w:tcPr>
          <w:p w14:paraId="78A7B5DE" w14:textId="4CF039EA" w:rsidR="00F77A3B" w:rsidRDefault="00F77A3B" w:rsidP="00FF3A58">
            <w:pPr>
              <w:pStyle w:val="FSTableHeading"/>
              <w:keepNext/>
              <w:keepLines/>
              <w:rPr>
                <w:lang w:bidi="ar-SA"/>
              </w:rPr>
            </w:pPr>
            <w:r>
              <w:rPr>
                <w:lang w:bidi="ar-SA"/>
              </w:rPr>
              <w:t xml:space="preserve">Proposed </w:t>
            </w:r>
            <w:r w:rsidR="00F04EE7">
              <w:rPr>
                <w:lang w:bidi="ar-SA"/>
              </w:rPr>
              <w:t xml:space="preserve">typical </w:t>
            </w:r>
            <w:r>
              <w:rPr>
                <w:lang w:bidi="ar-SA"/>
              </w:rPr>
              <w:t>use level (%)</w:t>
            </w:r>
          </w:p>
        </w:tc>
        <w:tc>
          <w:tcPr>
            <w:tcW w:w="2109" w:type="dxa"/>
          </w:tcPr>
          <w:p w14:paraId="3E22DBA8" w14:textId="660F6BCE" w:rsidR="00F77A3B" w:rsidRDefault="00F77A3B" w:rsidP="00FF3A58">
            <w:pPr>
              <w:pStyle w:val="FSTableHeading"/>
              <w:keepNext/>
              <w:keepLines/>
              <w:rPr>
                <w:lang w:bidi="ar-SA"/>
              </w:rPr>
            </w:pPr>
            <w:r>
              <w:rPr>
                <w:lang w:bidi="ar-SA"/>
              </w:rPr>
              <w:t>Proposed maximum use level (%)</w:t>
            </w:r>
          </w:p>
        </w:tc>
      </w:tr>
      <w:tr w:rsidR="00F77A3B" w14:paraId="54FE1979" w14:textId="77777777" w:rsidTr="00BD17E5">
        <w:tc>
          <w:tcPr>
            <w:tcW w:w="2394" w:type="dxa"/>
          </w:tcPr>
          <w:p w14:paraId="0687E258" w14:textId="2AD6596E" w:rsidR="00F77A3B" w:rsidRDefault="00F77A3B" w:rsidP="00AA1CEA">
            <w:pPr>
              <w:pStyle w:val="FSTableText"/>
              <w:keepNext/>
              <w:keepLines/>
              <w:rPr>
                <w:lang w:bidi="ar-SA"/>
              </w:rPr>
            </w:pPr>
            <w:r>
              <w:rPr>
                <w:lang w:bidi="ar-SA"/>
              </w:rPr>
              <w:t>Bakery products</w:t>
            </w:r>
          </w:p>
        </w:tc>
        <w:tc>
          <w:tcPr>
            <w:tcW w:w="2763" w:type="dxa"/>
          </w:tcPr>
          <w:p w14:paraId="2602F7E7" w14:textId="6D83AA73" w:rsidR="00F77A3B" w:rsidRDefault="00F77A3B" w:rsidP="00AA1CEA">
            <w:pPr>
              <w:pStyle w:val="FSTableText"/>
              <w:keepNext/>
              <w:keepLines/>
              <w:rPr>
                <w:lang w:bidi="ar-SA"/>
              </w:rPr>
            </w:pPr>
            <w:r>
              <w:rPr>
                <w:lang w:bidi="ar-SA"/>
              </w:rPr>
              <w:t>Bread, pastries, biscuits, cakes, pies, muffins, cereal bars, ready to eat cereals</w:t>
            </w:r>
          </w:p>
        </w:tc>
        <w:tc>
          <w:tcPr>
            <w:tcW w:w="1794" w:type="dxa"/>
          </w:tcPr>
          <w:p w14:paraId="70C73188" w14:textId="77399301" w:rsidR="00F77A3B" w:rsidRDefault="00F77A3B" w:rsidP="00FF3A58">
            <w:pPr>
              <w:pStyle w:val="FSTableText"/>
              <w:keepNext/>
              <w:keepLines/>
              <w:jc w:val="center"/>
              <w:rPr>
                <w:lang w:bidi="ar-SA"/>
              </w:rPr>
            </w:pPr>
            <w:r>
              <w:rPr>
                <w:lang w:bidi="ar-SA"/>
              </w:rPr>
              <w:t>3 - 5</w:t>
            </w:r>
          </w:p>
        </w:tc>
        <w:tc>
          <w:tcPr>
            <w:tcW w:w="2109" w:type="dxa"/>
          </w:tcPr>
          <w:p w14:paraId="5AED19A8" w14:textId="70AE7B90" w:rsidR="00F77A3B" w:rsidRDefault="00F77A3B" w:rsidP="00FF3A58">
            <w:pPr>
              <w:pStyle w:val="FSTableText"/>
              <w:keepNext/>
              <w:keepLines/>
              <w:jc w:val="center"/>
              <w:rPr>
                <w:lang w:bidi="ar-SA"/>
              </w:rPr>
            </w:pPr>
            <w:r>
              <w:rPr>
                <w:lang w:bidi="ar-SA"/>
              </w:rPr>
              <w:t>5</w:t>
            </w:r>
          </w:p>
        </w:tc>
      </w:tr>
      <w:tr w:rsidR="00F77A3B" w14:paraId="4044DCF3" w14:textId="77777777" w:rsidTr="00BD17E5">
        <w:tc>
          <w:tcPr>
            <w:tcW w:w="2394" w:type="dxa"/>
          </w:tcPr>
          <w:p w14:paraId="33240FD3" w14:textId="4C02A86D" w:rsidR="00F77A3B" w:rsidRDefault="00F77A3B" w:rsidP="00AA1CEA">
            <w:pPr>
              <w:pStyle w:val="FSTableText"/>
              <w:keepNext/>
              <w:keepLines/>
              <w:rPr>
                <w:lang w:bidi="ar-SA"/>
              </w:rPr>
            </w:pPr>
            <w:r>
              <w:rPr>
                <w:lang w:bidi="ar-SA"/>
              </w:rPr>
              <w:t>Beverages</w:t>
            </w:r>
          </w:p>
        </w:tc>
        <w:tc>
          <w:tcPr>
            <w:tcW w:w="2763" w:type="dxa"/>
          </w:tcPr>
          <w:p w14:paraId="097FD577" w14:textId="07E27BD7" w:rsidR="00F77A3B" w:rsidRDefault="00F77A3B" w:rsidP="00AA1CEA">
            <w:pPr>
              <w:pStyle w:val="FSTableText"/>
              <w:keepNext/>
              <w:keepLines/>
              <w:rPr>
                <w:lang w:bidi="ar-SA"/>
              </w:rPr>
            </w:pPr>
            <w:r>
              <w:rPr>
                <w:lang w:bidi="ar-SA"/>
              </w:rPr>
              <w:t xml:space="preserve">Fruit juice, fruit juice blends, soft drinks, formulated beverages, dairy and plant based milks, energy drinks. </w:t>
            </w:r>
          </w:p>
        </w:tc>
        <w:tc>
          <w:tcPr>
            <w:tcW w:w="1794" w:type="dxa"/>
          </w:tcPr>
          <w:p w14:paraId="2C755B00" w14:textId="2B5544BD" w:rsidR="00F77A3B" w:rsidRDefault="00F77A3B" w:rsidP="00FF3A58">
            <w:pPr>
              <w:pStyle w:val="FSTableText"/>
              <w:keepNext/>
              <w:keepLines/>
              <w:jc w:val="center"/>
              <w:rPr>
                <w:lang w:bidi="ar-SA"/>
              </w:rPr>
            </w:pPr>
            <w:r>
              <w:rPr>
                <w:lang w:bidi="ar-SA"/>
              </w:rPr>
              <w:t>2 - 5</w:t>
            </w:r>
          </w:p>
        </w:tc>
        <w:tc>
          <w:tcPr>
            <w:tcW w:w="2109" w:type="dxa"/>
          </w:tcPr>
          <w:p w14:paraId="082CF879" w14:textId="635AC646" w:rsidR="00F77A3B" w:rsidRDefault="00F77A3B" w:rsidP="00FF3A58">
            <w:pPr>
              <w:pStyle w:val="FSTableText"/>
              <w:keepNext/>
              <w:keepLines/>
              <w:jc w:val="center"/>
              <w:rPr>
                <w:lang w:bidi="ar-SA"/>
              </w:rPr>
            </w:pPr>
            <w:r>
              <w:rPr>
                <w:lang w:bidi="ar-SA"/>
              </w:rPr>
              <w:t>5</w:t>
            </w:r>
          </w:p>
        </w:tc>
      </w:tr>
      <w:tr w:rsidR="00F77A3B" w14:paraId="6F48BA23" w14:textId="77777777" w:rsidTr="00BD17E5">
        <w:tc>
          <w:tcPr>
            <w:tcW w:w="2394" w:type="dxa"/>
          </w:tcPr>
          <w:p w14:paraId="2CDD2973" w14:textId="704063CD" w:rsidR="00F77A3B" w:rsidRDefault="00F77A3B" w:rsidP="00AA1CEA">
            <w:pPr>
              <w:pStyle w:val="FSTableText"/>
              <w:keepNext/>
              <w:keepLines/>
              <w:rPr>
                <w:lang w:bidi="ar-SA"/>
              </w:rPr>
            </w:pPr>
            <w:r>
              <w:rPr>
                <w:lang w:bidi="ar-SA"/>
              </w:rPr>
              <w:t>Dairy products</w:t>
            </w:r>
          </w:p>
        </w:tc>
        <w:tc>
          <w:tcPr>
            <w:tcW w:w="2763" w:type="dxa"/>
          </w:tcPr>
          <w:p w14:paraId="3B8BEC15" w14:textId="63D62B7A" w:rsidR="00F77A3B" w:rsidRDefault="00F77A3B" w:rsidP="00AA1CEA">
            <w:pPr>
              <w:pStyle w:val="FSTableText"/>
              <w:keepNext/>
              <w:keepLines/>
              <w:rPr>
                <w:lang w:bidi="ar-SA"/>
              </w:rPr>
            </w:pPr>
            <w:r>
              <w:rPr>
                <w:lang w:bidi="ar-SA"/>
              </w:rPr>
              <w:t>Yoghurt, cheese, cheese products, milks, creams, desserts, dairy and plant based dips/desserts/toppings, dairy based ice blocks and sorbets</w:t>
            </w:r>
          </w:p>
        </w:tc>
        <w:tc>
          <w:tcPr>
            <w:tcW w:w="1794" w:type="dxa"/>
          </w:tcPr>
          <w:p w14:paraId="60449809" w14:textId="67F2724E" w:rsidR="00F77A3B" w:rsidRDefault="00281BD4" w:rsidP="00FF3A58">
            <w:pPr>
              <w:pStyle w:val="FSTableText"/>
              <w:keepNext/>
              <w:keepLines/>
              <w:jc w:val="center"/>
              <w:rPr>
                <w:lang w:bidi="ar-SA"/>
              </w:rPr>
            </w:pPr>
            <w:r>
              <w:rPr>
                <w:lang w:bidi="ar-SA"/>
              </w:rPr>
              <w:t>3 - 5</w:t>
            </w:r>
          </w:p>
        </w:tc>
        <w:tc>
          <w:tcPr>
            <w:tcW w:w="2109" w:type="dxa"/>
          </w:tcPr>
          <w:p w14:paraId="01ECAA2A" w14:textId="62E758C0" w:rsidR="00F77A3B" w:rsidRDefault="00F77A3B" w:rsidP="00FF3A58">
            <w:pPr>
              <w:pStyle w:val="FSTableText"/>
              <w:keepNext/>
              <w:keepLines/>
              <w:jc w:val="center"/>
              <w:rPr>
                <w:lang w:bidi="ar-SA"/>
              </w:rPr>
            </w:pPr>
            <w:r>
              <w:rPr>
                <w:lang w:bidi="ar-SA"/>
              </w:rPr>
              <w:t>5</w:t>
            </w:r>
          </w:p>
        </w:tc>
      </w:tr>
      <w:tr w:rsidR="00F77A3B" w14:paraId="3B32AA09" w14:textId="77777777" w:rsidTr="00BD17E5">
        <w:tc>
          <w:tcPr>
            <w:tcW w:w="2394" w:type="dxa"/>
          </w:tcPr>
          <w:p w14:paraId="5419C95A" w14:textId="6AC99060" w:rsidR="00F77A3B" w:rsidRDefault="00F77A3B" w:rsidP="00AA1CEA">
            <w:pPr>
              <w:pStyle w:val="FSTableText"/>
              <w:keepNext/>
              <w:keepLines/>
              <w:rPr>
                <w:lang w:bidi="ar-SA"/>
              </w:rPr>
            </w:pPr>
            <w:r>
              <w:rPr>
                <w:lang w:bidi="ar-SA"/>
              </w:rPr>
              <w:t>Mixed foods</w:t>
            </w:r>
          </w:p>
        </w:tc>
        <w:tc>
          <w:tcPr>
            <w:tcW w:w="2763" w:type="dxa"/>
          </w:tcPr>
          <w:p w14:paraId="7C4E5D2E" w14:textId="0828FA45" w:rsidR="00F77A3B" w:rsidRDefault="00F77A3B" w:rsidP="00BD17E5">
            <w:pPr>
              <w:pStyle w:val="FSTableText"/>
              <w:keepNext/>
              <w:keepLines/>
              <w:rPr>
                <w:lang w:bidi="ar-SA"/>
              </w:rPr>
            </w:pPr>
            <w:r>
              <w:rPr>
                <w:lang w:bidi="ar-SA"/>
              </w:rPr>
              <w:t>Ready to eat meals, soup, pasta</w:t>
            </w:r>
            <w:r w:rsidR="003D67C8">
              <w:rPr>
                <w:lang w:bidi="ar-SA"/>
              </w:rPr>
              <w:t xml:space="preserve">, </w:t>
            </w:r>
            <w:r w:rsidR="00BD17E5">
              <w:rPr>
                <w:lang w:bidi="ar-SA"/>
              </w:rPr>
              <w:t>extruded snacks including cookies</w:t>
            </w:r>
          </w:p>
        </w:tc>
        <w:tc>
          <w:tcPr>
            <w:tcW w:w="1794" w:type="dxa"/>
          </w:tcPr>
          <w:p w14:paraId="5F76DE30" w14:textId="56EAC539" w:rsidR="00F77A3B" w:rsidRDefault="00F77A3B" w:rsidP="00FF3A58">
            <w:pPr>
              <w:pStyle w:val="FSTableText"/>
              <w:keepNext/>
              <w:keepLines/>
              <w:jc w:val="center"/>
              <w:rPr>
                <w:lang w:bidi="ar-SA"/>
              </w:rPr>
            </w:pPr>
            <w:r>
              <w:rPr>
                <w:lang w:bidi="ar-SA"/>
              </w:rPr>
              <w:t>5</w:t>
            </w:r>
          </w:p>
        </w:tc>
        <w:tc>
          <w:tcPr>
            <w:tcW w:w="2109" w:type="dxa"/>
          </w:tcPr>
          <w:p w14:paraId="6559A598" w14:textId="7F83A29D" w:rsidR="00F77A3B" w:rsidRDefault="00F77A3B" w:rsidP="00FF3A58">
            <w:pPr>
              <w:pStyle w:val="FSTableText"/>
              <w:keepNext/>
              <w:keepLines/>
              <w:jc w:val="center"/>
              <w:rPr>
                <w:lang w:bidi="ar-SA"/>
              </w:rPr>
            </w:pPr>
            <w:r>
              <w:rPr>
                <w:lang w:bidi="ar-SA"/>
              </w:rPr>
              <w:t>10</w:t>
            </w:r>
          </w:p>
        </w:tc>
      </w:tr>
      <w:tr w:rsidR="00F77A3B" w14:paraId="47CECC06" w14:textId="77777777" w:rsidTr="00BD17E5">
        <w:tc>
          <w:tcPr>
            <w:tcW w:w="2394" w:type="dxa"/>
          </w:tcPr>
          <w:p w14:paraId="21B1F1BD" w14:textId="2C6E52B7" w:rsidR="00F77A3B" w:rsidRDefault="00F77A3B" w:rsidP="00AA1CEA">
            <w:pPr>
              <w:pStyle w:val="FSTableText"/>
              <w:keepNext/>
              <w:keepLines/>
              <w:rPr>
                <w:lang w:bidi="ar-SA"/>
              </w:rPr>
            </w:pPr>
            <w:r>
              <w:rPr>
                <w:lang w:bidi="ar-SA"/>
              </w:rPr>
              <w:t>Meat analogues</w:t>
            </w:r>
          </w:p>
        </w:tc>
        <w:tc>
          <w:tcPr>
            <w:tcW w:w="2763" w:type="dxa"/>
          </w:tcPr>
          <w:p w14:paraId="4293AAAA" w14:textId="3D105DF4" w:rsidR="00F77A3B" w:rsidRDefault="00F77A3B" w:rsidP="00AA1CEA">
            <w:pPr>
              <w:pStyle w:val="FSTableText"/>
              <w:keepNext/>
              <w:keepLines/>
              <w:rPr>
                <w:lang w:bidi="ar-SA"/>
              </w:rPr>
            </w:pPr>
            <w:r>
              <w:rPr>
                <w:lang w:bidi="ar-SA"/>
              </w:rPr>
              <w:t>Patties, fillets, strips</w:t>
            </w:r>
          </w:p>
        </w:tc>
        <w:tc>
          <w:tcPr>
            <w:tcW w:w="1794" w:type="dxa"/>
          </w:tcPr>
          <w:p w14:paraId="67C4C50B" w14:textId="1DB3E1FA" w:rsidR="00F77A3B" w:rsidRDefault="00F77A3B" w:rsidP="00FF3A58">
            <w:pPr>
              <w:pStyle w:val="FSTableText"/>
              <w:keepNext/>
              <w:keepLines/>
              <w:jc w:val="center"/>
              <w:rPr>
                <w:lang w:bidi="ar-SA"/>
              </w:rPr>
            </w:pPr>
            <w:r>
              <w:rPr>
                <w:lang w:bidi="ar-SA"/>
              </w:rPr>
              <w:t>5</w:t>
            </w:r>
          </w:p>
        </w:tc>
        <w:tc>
          <w:tcPr>
            <w:tcW w:w="2109" w:type="dxa"/>
          </w:tcPr>
          <w:p w14:paraId="36070EC7" w14:textId="33352BA5" w:rsidR="00F77A3B" w:rsidRDefault="00F77A3B" w:rsidP="00FF3A58">
            <w:pPr>
              <w:pStyle w:val="FSTableText"/>
              <w:keepNext/>
              <w:keepLines/>
              <w:jc w:val="center"/>
              <w:rPr>
                <w:lang w:bidi="ar-SA"/>
              </w:rPr>
            </w:pPr>
            <w:r>
              <w:rPr>
                <w:lang w:bidi="ar-SA"/>
              </w:rPr>
              <w:t>30</w:t>
            </w:r>
          </w:p>
        </w:tc>
      </w:tr>
      <w:tr w:rsidR="00F77A3B" w14:paraId="606B8729" w14:textId="77777777" w:rsidTr="00BD17E5">
        <w:tc>
          <w:tcPr>
            <w:tcW w:w="2394" w:type="dxa"/>
          </w:tcPr>
          <w:p w14:paraId="6375D2F3" w14:textId="2EA8560C" w:rsidR="00F77A3B" w:rsidRDefault="00F77A3B" w:rsidP="00AA1CEA">
            <w:pPr>
              <w:pStyle w:val="FSTableText"/>
              <w:keepNext/>
              <w:keepLines/>
              <w:rPr>
                <w:lang w:bidi="ar-SA"/>
              </w:rPr>
            </w:pPr>
            <w:r>
              <w:rPr>
                <w:lang w:bidi="ar-SA"/>
              </w:rPr>
              <w:t xml:space="preserve">Protein based products </w:t>
            </w:r>
          </w:p>
        </w:tc>
        <w:tc>
          <w:tcPr>
            <w:tcW w:w="2763" w:type="dxa"/>
          </w:tcPr>
          <w:p w14:paraId="3A2AAD23" w14:textId="372402AB" w:rsidR="00F77A3B" w:rsidRDefault="00F77A3B" w:rsidP="00BD17E5">
            <w:pPr>
              <w:pStyle w:val="FSTableText"/>
              <w:keepNext/>
              <w:keepLines/>
              <w:rPr>
                <w:lang w:bidi="ar-SA"/>
              </w:rPr>
            </w:pPr>
            <w:r>
              <w:rPr>
                <w:lang w:bidi="ar-SA"/>
              </w:rPr>
              <w:t>Bars, energy bars, pasta, protein powders, beverages</w:t>
            </w:r>
          </w:p>
        </w:tc>
        <w:tc>
          <w:tcPr>
            <w:tcW w:w="1794" w:type="dxa"/>
          </w:tcPr>
          <w:p w14:paraId="0412DBC4" w14:textId="6362B8E8" w:rsidR="00F77A3B" w:rsidRDefault="00F77A3B" w:rsidP="009142E2">
            <w:pPr>
              <w:pStyle w:val="FSTableText"/>
              <w:keepNext/>
              <w:keepLines/>
              <w:jc w:val="center"/>
              <w:rPr>
                <w:lang w:bidi="ar-SA"/>
              </w:rPr>
            </w:pPr>
            <w:r>
              <w:rPr>
                <w:lang w:bidi="ar-SA"/>
              </w:rPr>
              <w:t>10</w:t>
            </w:r>
          </w:p>
        </w:tc>
        <w:tc>
          <w:tcPr>
            <w:tcW w:w="2109" w:type="dxa"/>
          </w:tcPr>
          <w:p w14:paraId="1240F108" w14:textId="52C9B62A" w:rsidR="00F77A3B" w:rsidRDefault="00F77A3B" w:rsidP="009142E2">
            <w:pPr>
              <w:pStyle w:val="FSTableText"/>
              <w:keepNext/>
              <w:keepLines/>
              <w:jc w:val="center"/>
              <w:rPr>
                <w:lang w:bidi="ar-SA"/>
              </w:rPr>
            </w:pPr>
            <w:r>
              <w:rPr>
                <w:lang w:bidi="ar-SA"/>
              </w:rPr>
              <w:t>30</w:t>
            </w:r>
          </w:p>
        </w:tc>
      </w:tr>
    </w:tbl>
    <w:p w14:paraId="5D9FE984" w14:textId="144FC323" w:rsidR="00847643" w:rsidRPr="00302211" w:rsidRDefault="00847643" w:rsidP="00AA1CEA">
      <w:pPr>
        <w:pStyle w:val="FSTableHeading"/>
        <w:jc w:val="left"/>
        <w:rPr>
          <w:rFonts w:ascii="Arial" w:hAnsi="Arial"/>
          <w:b w:val="0"/>
          <w:lang w:bidi="ar-SA"/>
        </w:rPr>
      </w:pPr>
    </w:p>
    <w:p w14:paraId="48E0B9B3" w14:textId="0AAC336B" w:rsidR="00114270" w:rsidRDefault="00114270" w:rsidP="00614DC8">
      <w:pPr>
        <w:pStyle w:val="Heading3"/>
      </w:pPr>
      <w:bookmarkStart w:id="220" w:name="_Toc38549484"/>
      <w:bookmarkStart w:id="221" w:name="_Toc38634142"/>
      <w:bookmarkStart w:id="222" w:name="_Toc39571014"/>
      <w:bookmarkStart w:id="223" w:name="_Toc39579269"/>
      <w:bookmarkStart w:id="224" w:name="_Toc39579332"/>
      <w:bookmarkStart w:id="225" w:name="_Toc39587090"/>
      <w:bookmarkStart w:id="226" w:name="_Toc39582482"/>
      <w:bookmarkStart w:id="227" w:name="_Toc40264897"/>
      <w:bookmarkStart w:id="228" w:name="_Toc40266373"/>
      <w:bookmarkStart w:id="229" w:name="_Toc40279705"/>
      <w:bookmarkStart w:id="230" w:name="_Toc40282007"/>
      <w:bookmarkStart w:id="231" w:name="_Toc40282168"/>
      <w:bookmarkStart w:id="232" w:name="_Toc40360499"/>
      <w:bookmarkStart w:id="233" w:name="_Toc40366889"/>
      <w:bookmarkStart w:id="234" w:name="_Toc40368221"/>
      <w:bookmarkStart w:id="235" w:name="_Toc40382828"/>
      <w:bookmarkStart w:id="236" w:name="_Toc40431029"/>
      <w:bookmarkStart w:id="237" w:name="_Toc40432967"/>
      <w:bookmarkStart w:id="238" w:name="_Toc40447652"/>
      <w:bookmarkStart w:id="239" w:name="_Toc40441181"/>
      <w:bookmarkStart w:id="240" w:name="_Toc40448517"/>
      <w:bookmarkStart w:id="241" w:name="_Toc40449944"/>
      <w:bookmarkStart w:id="242" w:name="_Toc40968289"/>
      <w:bookmarkStart w:id="243" w:name="_Toc41051011"/>
      <w:bookmarkStart w:id="244" w:name="_Toc41046011"/>
      <w:bookmarkStart w:id="245" w:name="_Toc41053469"/>
      <w:bookmarkStart w:id="246" w:name="_Toc44592640"/>
      <w:bookmarkStart w:id="247" w:name="_Toc44596152"/>
      <w:bookmarkStart w:id="248" w:name="_Toc44604547"/>
      <w:bookmarkStart w:id="249" w:name="_Toc54169696"/>
      <w:bookmarkStart w:id="250" w:name="_Toc56089985"/>
      <w:r>
        <w:t>2.3.1</w:t>
      </w:r>
      <w:r w:rsidR="005021AA">
        <w:tab/>
      </w:r>
      <w:r>
        <w:t>Functional properties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D97842B" w14:textId="65953C7A" w:rsidR="009325E6" w:rsidRDefault="00B83CDF" w:rsidP="009325E6">
      <w:pPr>
        <w:rPr>
          <w:lang w:bidi="ar-SA"/>
        </w:rPr>
      </w:pPr>
      <w:r>
        <w:rPr>
          <w:lang w:bidi="ar-SA"/>
        </w:rPr>
        <w:t xml:space="preserve">Rapeseed protein isolate has a protein content of </w:t>
      </w:r>
      <w:r w:rsidR="00F50659">
        <w:rPr>
          <w:rFonts w:cs="Arial"/>
          <w:lang w:bidi="ar-SA"/>
        </w:rPr>
        <w:t xml:space="preserve">at least </w:t>
      </w:r>
      <w:r>
        <w:rPr>
          <w:lang w:bidi="ar-SA"/>
        </w:rPr>
        <w:t>90%</w:t>
      </w:r>
      <w:r w:rsidR="0056609F">
        <w:rPr>
          <w:lang w:bidi="ar-SA"/>
        </w:rPr>
        <w:t xml:space="preserve">, </w:t>
      </w:r>
      <w:r>
        <w:rPr>
          <w:lang w:bidi="ar-SA"/>
        </w:rPr>
        <w:t>provid</w:t>
      </w:r>
      <w:r w:rsidR="0056609F">
        <w:rPr>
          <w:lang w:bidi="ar-SA"/>
        </w:rPr>
        <w:t>ing</w:t>
      </w:r>
      <w:r w:rsidR="009325E6">
        <w:rPr>
          <w:lang w:bidi="ar-SA"/>
        </w:rPr>
        <w:t xml:space="preserve"> </w:t>
      </w:r>
      <w:r>
        <w:rPr>
          <w:lang w:bidi="ar-SA"/>
        </w:rPr>
        <w:t xml:space="preserve">a </w:t>
      </w:r>
      <w:r w:rsidR="009325E6">
        <w:rPr>
          <w:lang w:bidi="ar-SA"/>
        </w:rPr>
        <w:t xml:space="preserve">range of </w:t>
      </w:r>
      <w:r w:rsidR="00A718FA">
        <w:rPr>
          <w:lang w:bidi="ar-SA"/>
        </w:rPr>
        <w:t>technological functions</w:t>
      </w:r>
      <w:r w:rsidR="009325E6">
        <w:rPr>
          <w:lang w:bidi="ar-SA"/>
        </w:rPr>
        <w:t xml:space="preserve"> including thicken</w:t>
      </w:r>
      <w:r w:rsidR="0056609F">
        <w:rPr>
          <w:lang w:bidi="ar-SA"/>
        </w:rPr>
        <w:t>ing</w:t>
      </w:r>
      <w:r w:rsidR="009325E6">
        <w:rPr>
          <w:lang w:bidi="ar-SA"/>
        </w:rPr>
        <w:t>, water bind</w:t>
      </w:r>
      <w:r w:rsidR="0056609F">
        <w:rPr>
          <w:lang w:bidi="ar-SA"/>
        </w:rPr>
        <w:t>ing</w:t>
      </w:r>
      <w:r w:rsidR="009325E6">
        <w:rPr>
          <w:lang w:bidi="ar-SA"/>
        </w:rPr>
        <w:t xml:space="preserve">, </w:t>
      </w:r>
      <w:r w:rsidR="0056609F">
        <w:rPr>
          <w:lang w:bidi="ar-SA"/>
        </w:rPr>
        <w:t>emulsifying</w:t>
      </w:r>
      <w:r w:rsidR="009325E6">
        <w:rPr>
          <w:lang w:bidi="ar-SA"/>
        </w:rPr>
        <w:t>, gelling</w:t>
      </w:r>
      <w:r w:rsidR="0024721E">
        <w:rPr>
          <w:lang w:bidi="ar-SA"/>
        </w:rPr>
        <w:t xml:space="preserve">, foaming or </w:t>
      </w:r>
      <w:r w:rsidR="00A718FA">
        <w:rPr>
          <w:lang w:bidi="ar-SA"/>
        </w:rPr>
        <w:t>providing texture</w:t>
      </w:r>
      <w:r w:rsidR="0024721E">
        <w:rPr>
          <w:lang w:bidi="ar-SA"/>
        </w:rPr>
        <w:t>.</w:t>
      </w:r>
    </w:p>
    <w:p w14:paraId="5235B1F1" w14:textId="585500EC" w:rsidR="00114270" w:rsidRDefault="00114270" w:rsidP="009325E6">
      <w:pPr>
        <w:rPr>
          <w:bCs/>
          <w:sz w:val="28"/>
          <w:szCs w:val="22"/>
          <w:lang w:bidi="ar-SA"/>
        </w:rPr>
      </w:pPr>
    </w:p>
    <w:p w14:paraId="01B2FFBD" w14:textId="7310228E" w:rsidR="00AD14CE" w:rsidRDefault="00665389" w:rsidP="00665389">
      <w:pPr>
        <w:rPr>
          <w:lang w:bidi="ar-SA"/>
        </w:rPr>
      </w:pPr>
      <w:r>
        <w:rPr>
          <w:lang w:bidi="ar-SA"/>
        </w:rPr>
        <w:t xml:space="preserve">The functional properties of rapeseed protein </w:t>
      </w:r>
      <w:r w:rsidR="0025648A">
        <w:rPr>
          <w:lang w:bidi="ar-SA"/>
        </w:rPr>
        <w:t xml:space="preserve">isolate </w:t>
      </w:r>
      <w:r>
        <w:rPr>
          <w:lang w:bidi="ar-SA"/>
        </w:rPr>
        <w:t xml:space="preserve">are </w:t>
      </w:r>
      <w:r w:rsidR="00D9412E">
        <w:rPr>
          <w:lang w:bidi="ar-SA"/>
        </w:rPr>
        <w:t>influenced</w:t>
      </w:r>
      <w:r>
        <w:rPr>
          <w:lang w:bidi="ar-SA"/>
        </w:rPr>
        <w:t xml:space="preserve"> by its structure</w:t>
      </w:r>
      <w:r w:rsidR="00A725A7">
        <w:rPr>
          <w:lang w:bidi="ar-SA"/>
        </w:rPr>
        <w:t xml:space="preserve">, including the cruciferin and napin content. </w:t>
      </w:r>
      <w:r w:rsidR="00202772">
        <w:rPr>
          <w:lang w:bidi="ar-SA"/>
        </w:rPr>
        <w:t>I</w:t>
      </w:r>
      <w:r w:rsidR="00202772" w:rsidRPr="00202772">
        <w:t>n CanolaPRO all the proteins are present in t</w:t>
      </w:r>
      <w:r w:rsidR="002238E9">
        <w:t xml:space="preserve">heir native state. The </w:t>
      </w:r>
      <w:r w:rsidR="00202772" w:rsidRPr="00202772">
        <w:t xml:space="preserve">manufacturing process is </w:t>
      </w:r>
      <w:r w:rsidR="002238E9">
        <w:t>carried</w:t>
      </w:r>
      <w:r w:rsidR="00202772" w:rsidRPr="00202772">
        <w:t xml:space="preserve"> out in such a way as to maintain </w:t>
      </w:r>
      <w:r w:rsidR="002238E9">
        <w:t>the native state of the protein. This is</w:t>
      </w:r>
      <w:r w:rsidR="00202772" w:rsidRPr="00202772">
        <w:t xml:space="preserve"> because only the native protein exhibits the desi</w:t>
      </w:r>
      <w:r w:rsidR="00E4172B">
        <w:t>red functional properties of</w:t>
      </w:r>
      <w:r w:rsidR="002238E9" w:rsidRPr="002238E9">
        <w:t xml:space="preserve"> CanolaPRO</w:t>
      </w:r>
      <w:r w:rsidR="00E4172B">
        <w:t>.</w:t>
      </w:r>
      <w:r w:rsidR="00472C25">
        <w:t xml:space="preserve"> </w:t>
      </w:r>
      <w:r w:rsidR="008521BB" w:rsidRPr="004E3209">
        <w:t>Compared with other proteins derived from animal (e.g. whey) or other plant</w:t>
      </w:r>
      <w:r w:rsidR="00351AB4">
        <w:t xml:space="preserve">s </w:t>
      </w:r>
      <w:r w:rsidR="008521BB" w:rsidRPr="004E3209">
        <w:t xml:space="preserve">(e.g. soy, pea) the use of rapeseed protein isolate as an ingredient can provide improved functional properties including in bread dough as an emulsifier, </w:t>
      </w:r>
      <w:r w:rsidR="00351AB4">
        <w:t xml:space="preserve">in meringue </w:t>
      </w:r>
      <w:r w:rsidR="008521BB" w:rsidRPr="004E3209">
        <w:t>improved volume and foam stability and</w:t>
      </w:r>
      <w:r w:rsidR="00351AB4">
        <w:t xml:space="preserve"> in meat patties</w:t>
      </w:r>
      <w:r w:rsidR="008521BB" w:rsidRPr="004E3209">
        <w:t xml:space="preserve"> improved water holding capacity and yield (Wanasundara et al. 2016). </w:t>
      </w:r>
      <w:r w:rsidR="008521BB">
        <w:t xml:space="preserve">Some of the functional properties for rapeseed protein isolate also provide sensory benefits. For example gelling gives good mouthfeel, including texture when used in meat </w:t>
      </w:r>
      <w:r w:rsidR="0038438B">
        <w:t>analogues</w:t>
      </w:r>
      <w:r w:rsidR="008521BB">
        <w:t>.</w:t>
      </w:r>
    </w:p>
    <w:p w14:paraId="55B81606" w14:textId="77777777" w:rsidR="00AD14CE" w:rsidRDefault="00AD14CE" w:rsidP="00665389">
      <w:pPr>
        <w:rPr>
          <w:lang w:bidi="ar-SA"/>
        </w:rPr>
      </w:pPr>
    </w:p>
    <w:p w14:paraId="203CA068" w14:textId="04987B27" w:rsidR="00665389" w:rsidRDefault="008521BB" w:rsidP="00665389">
      <w:pPr>
        <w:rPr>
          <w:lang w:bidi="ar-SA"/>
        </w:rPr>
      </w:pPr>
      <w:r>
        <w:rPr>
          <w:lang w:bidi="ar-SA"/>
        </w:rPr>
        <w:t>In the form</w:t>
      </w:r>
      <w:r w:rsidR="00AD14CE">
        <w:rPr>
          <w:lang w:bidi="ar-SA"/>
        </w:rPr>
        <w:t xml:space="preserve"> of </w:t>
      </w:r>
      <w:r>
        <w:rPr>
          <w:lang w:bidi="ar-SA"/>
        </w:rPr>
        <w:t xml:space="preserve">a powder </w:t>
      </w:r>
      <w:r w:rsidR="00AD14CE">
        <w:rPr>
          <w:lang w:bidi="ar-SA"/>
        </w:rPr>
        <w:t xml:space="preserve">rapeseed protein </w:t>
      </w:r>
      <w:r w:rsidR="0025648A">
        <w:rPr>
          <w:lang w:bidi="ar-SA"/>
        </w:rPr>
        <w:t xml:space="preserve">isolate </w:t>
      </w:r>
      <w:r>
        <w:rPr>
          <w:lang w:bidi="ar-SA"/>
        </w:rPr>
        <w:t>is readily soluble in water, which</w:t>
      </w:r>
      <w:r w:rsidR="0025648A">
        <w:rPr>
          <w:lang w:bidi="ar-SA"/>
        </w:rPr>
        <w:t xml:space="preserve"> </w:t>
      </w:r>
      <w:r w:rsidR="00AD14CE">
        <w:rPr>
          <w:lang w:bidi="ar-SA"/>
        </w:rPr>
        <w:t xml:space="preserve">also influences its functional properties. The solubility of cruciferin and napin </w:t>
      </w:r>
      <w:r w:rsidR="002630AD">
        <w:rPr>
          <w:lang w:bidi="ar-SA"/>
        </w:rPr>
        <w:t>is different and is influenced by</w:t>
      </w:r>
      <w:r w:rsidR="00AD14CE">
        <w:rPr>
          <w:lang w:bidi="ar-SA"/>
        </w:rPr>
        <w:t xml:space="preserve"> pH, temperature and salt level. At </w:t>
      </w:r>
      <w:r w:rsidR="0099228C">
        <w:rPr>
          <w:lang w:bidi="ar-SA"/>
        </w:rPr>
        <w:t xml:space="preserve">pH </w:t>
      </w:r>
      <w:r w:rsidR="00FB741B">
        <w:rPr>
          <w:lang w:bidi="ar-SA"/>
        </w:rPr>
        <w:t xml:space="preserve">levels between </w:t>
      </w:r>
      <w:r w:rsidR="0099228C">
        <w:rPr>
          <w:lang w:bidi="ar-SA"/>
        </w:rPr>
        <w:t>3</w:t>
      </w:r>
      <w:r w:rsidR="00FB741B">
        <w:rPr>
          <w:lang w:bidi="ar-SA"/>
        </w:rPr>
        <w:t xml:space="preserve"> and </w:t>
      </w:r>
      <w:r w:rsidR="0099228C">
        <w:rPr>
          <w:lang w:bidi="ar-SA"/>
        </w:rPr>
        <w:t xml:space="preserve">4 cruciferin is insoluble </w:t>
      </w:r>
      <w:r w:rsidR="002630AD">
        <w:rPr>
          <w:lang w:bidi="ar-SA"/>
        </w:rPr>
        <w:t>while</w:t>
      </w:r>
      <w:r w:rsidR="00AD14CE">
        <w:rPr>
          <w:lang w:bidi="ar-SA"/>
        </w:rPr>
        <w:t xml:space="preserve"> napin is </w:t>
      </w:r>
      <w:r w:rsidR="0099228C">
        <w:rPr>
          <w:lang w:bidi="ar-SA"/>
        </w:rPr>
        <w:t xml:space="preserve">soluble from pH </w:t>
      </w:r>
      <w:r w:rsidR="00FB741B">
        <w:rPr>
          <w:lang w:bidi="ar-SA"/>
        </w:rPr>
        <w:t xml:space="preserve">levels </w:t>
      </w:r>
      <w:r w:rsidR="0099228C">
        <w:rPr>
          <w:lang w:bidi="ar-SA"/>
        </w:rPr>
        <w:t>2 to 10 (Wanasundara et al</w:t>
      </w:r>
      <w:r w:rsidR="00A35D43">
        <w:rPr>
          <w:lang w:bidi="ar-SA"/>
        </w:rPr>
        <w:t>.</w:t>
      </w:r>
      <w:r w:rsidR="0099228C">
        <w:rPr>
          <w:lang w:bidi="ar-SA"/>
        </w:rPr>
        <w:t xml:space="preserve"> 2016)</w:t>
      </w:r>
      <w:r w:rsidR="00AD14CE">
        <w:rPr>
          <w:lang w:bidi="ar-SA"/>
        </w:rPr>
        <w:t xml:space="preserve">. Salts such as </w:t>
      </w:r>
      <w:r w:rsidR="001A4080">
        <w:rPr>
          <w:lang w:bidi="ar-SA"/>
        </w:rPr>
        <w:t>sodium chloride</w:t>
      </w:r>
      <w:r w:rsidR="00AD14CE">
        <w:rPr>
          <w:lang w:bidi="ar-SA"/>
        </w:rPr>
        <w:t xml:space="preserve"> used in the applicant</w:t>
      </w:r>
      <w:r w:rsidR="00FB741B">
        <w:rPr>
          <w:lang w:bidi="ar-SA"/>
        </w:rPr>
        <w:t>’</w:t>
      </w:r>
      <w:r w:rsidR="00AD14CE">
        <w:rPr>
          <w:lang w:bidi="ar-SA"/>
        </w:rPr>
        <w:t>s rape</w:t>
      </w:r>
      <w:r w:rsidR="0099228C">
        <w:rPr>
          <w:lang w:bidi="ar-SA"/>
        </w:rPr>
        <w:t xml:space="preserve">seed protein </w:t>
      </w:r>
      <w:r w:rsidR="001A4080">
        <w:rPr>
          <w:lang w:bidi="ar-SA"/>
        </w:rPr>
        <w:t>isolate</w:t>
      </w:r>
      <w:r w:rsidR="0099228C">
        <w:rPr>
          <w:lang w:bidi="ar-SA"/>
        </w:rPr>
        <w:t xml:space="preserve"> </w:t>
      </w:r>
      <w:r w:rsidR="002630AD">
        <w:rPr>
          <w:lang w:bidi="ar-SA"/>
        </w:rPr>
        <w:t xml:space="preserve">can </w:t>
      </w:r>
      <w:r w:rsidR="0099228C">
        <w:rPr>
          <w:lang w:bidi="ar-SA"/>
        </w:rPr>
        <w:t>assist</w:t>
      </w:r>
      <w:r w:rsidR="0024721E">
        <w:rPr>
          <w:lang w:bidi="ar-SA"/>
        </w:rPr>
        <w:t xml:space="preserve"> in stabilising napin.</w:t>
      </w:r>
      <w:r w:rsidR="00A014E3">
        <w:rPr>
          <w:lang w:bidi="ar-SA"/>
        </w:rPr>
        <w:t xml:space="preserve"> </w:t>
      </w:r>
      <w:r w:rsidR="00351AB4">
        <w:rPr>
          <w:lang w:bidi="ar-SA"/>
        </w:rPr>
        <w:t>L</w:t>
      </w:r>
      <w:r w:rsidR="00A014E3" w:rsidRPr="00A014E3">
        <w:rPr>
          <w:lang w:bidi="ar-SA"/>
        </w:rPr>
        <w:t>imitations with water binding capacity and also bitterness from rapeseed protein isolate at higher use levels</w:t>
      </w:r>
      <w:r w:rsidR="00351AB4">
        <w:rPr>
          <w:lang w:bidi="ar-SA"/>
        </w:rPr>
        <w:t xml:space="preserve"> mean</w:t>
      </w:r>
      <w:r w:rsidR="00A014E3" w:rsidRPr="00A014E3">
        <w:rPr>
          <w:lang w:bidi="ar-SA"/>
        </w:rPr>
        <w:t xml:space="preserve"> the maximum use levels in foods is unlikely to exceed 30%</w:t>
      </w:r>
      <w:r w:rsidR="00351AB4">
        <w:rPr>
          <w:lang w:bidi="ar-SA"/>
        </w:rPr>
        <w:t>, noting that typical use levels are a maximum of 10%.</w:t>
      </w:r>
    </w:p>
    <w:p w14:paraId="11D0BC2D" w14:textId="45E26379" w:rsidR="00CF4E69" w:rsidRDefault="00CF4E69" w:rsidP="00665389">
      <w:pPr>
        <w:rPr>
          <w:lang w:bidi="ar-SA"/>
        </w:rPr>
      </w:pPr>
    </w:p>
    <w:p w14:paraId="50114536" w14:textId="67380133" w:rsidR="00CC21AC" w:rsidRDefault="00CC21AC" w:rsidP="00CC21AC">
      <w:pPr>
        <w:rPr>
          <w:lang w:bidi="ar-SA"/>
        </w:rPr>
      </w:pPr>
      <w:r>
        <w:rPr>
          <w:lang w:bidi="ar-SA"/>
        </w:rPr>
        <w:t xml:space="preserve">Examples </w:t>
      </w:r>
      <w:r w:rsidR="00FB741B">
        <w:rPr>
          <w:lang w:bidi="ar-SA"/>
        </w:rPr>
        <w:t xml:space="preserve">for </w:t>
      </w:r>
      <w:r>
        <w:rPr>
          <w:lang w:bidi="ar-SA"/>
        </w:rPr>
        <w:t>the applicant’s rapeseed protein</w:t>
      </w:r>
      <w:r w:rsidR="00FB741B">
        <w:rPr>
          <w:lang w:bidi="ar-SA"/>
        </w:rPr>
        <w:t xml:space="preserve"> isolate’s functional properties and use in food applications</w:t>
      </w:r>
      <w:r>
        <w:rPr>
          <w:lang w:bidi="ar-SA"/>
        </w:rPr>
        <w:t xml:space="preserve"> are included in Table </w:t>
      </w:r>
      <w:r w:rsidR="00B33F79">
        <w:rPr>
          <w:lang w:bidi="ar-SA"/>
        </w:rPr>
        <w:t>2.</w:t>
      </w:r>
      <w:r w:rsidR="009142E2">
        <w:rPr>
          <w:lang w:bidi="ar-SA"/>
        </w:rPr>
        <w:t>3</w:t>
      </w:r>
      <w:r>
        <w:rPr>
          <w:lang w:bidi="ar-SA"/>
        </w:rPr>
        <w:t xml:space="preserve"> below.</w:t>
      </w:r>
    </w:p>
    <w:p w14:paraId="4C361402" w14:textId="4C0046E0" w:rsidR="00CC21AC" w:rsidRDefault="00CC21AC" w:rsidP="00CC21AC">
      <w:pPr>
        <w:rPr>
          <w:lang w:bidi="ar-SA"/>
        </w:rPr>
      </w:pPr>
    </w:p>
    <w:p w14:paraId="22D6C5E9" w14:textId="12D92568" w:rsidR="00CC21AC" w:rsidRPr="005021AA" w:rsidRDefault="00CC21AC" w:rsidP="0024721E">
      <w:pPr>
        <w:pStyle w:val="FSTableTitle"/>
        <w:keepNext/>
        <w:keepLines/>
        <w:rPr>
          <w:b w:val="0"/>
          <w:i/>
          <w:lang w:bidi="ar-SA"/>
        </w:rPr>
      </w:pPr>
      <w:r w:rsidRPr="005021AA">
        <w:rPr>
          <w:i/>
          <w:lang w:bidi="ar-SA"/>
        </w:rPr>
        <w:t xml:space="preserve">Table </w:t>
      </w:r>
      <w:r w:rsidR="00B33F79" w:rsidRPr="005021AA">
        <w:rPr>
          <w:i/>
          <w:lang w:bidi="ar-SA"/>
        </w:rPr>
        <w:t>2.</w:t>
      </w:r>
      <w:r w:rsidR="009142E2" w:rsidRPr="005021AA">
        <w:rPr>
          <w:i/>
          <w:lang w:bidi="ar-SA"/>
        </w:rPr>
        <w:t>3</w:t>
      </w:r>
      <w:r w:rsidR="005021AA">
        <w:rPr>
          <w:i/>
          <w:lang w:bidi="ar-SA"/>
        </w:rPr>
        <w:tab/>
      </w:r>
      <w:r w:rsidRPr="005021AA">
        <w:rPr>
          <w:b w:val="0"/>
          <w:i/>
          <w:lang w:bidi="ar-SA"/>
        </w:rPr>
        <w:t xml:space="preserve">Examples of </w:t>
      </w:r>
      <w:r w:rsidR="00FB741B" w:rsidRPr="005021AA">
        <w:rPr>
          <w:b w:val="0"/>
          <w:i/>
          <w:lang w:bidi="ar-SA"/>
        </w:rPr>
        <w:t xml:space="preserve">rapeseed protein isolate’s </w:t>
      </w:r>
      <w:r w:rsidRPr="005021AA">
        <w:rPr>
          <w:b w:val="0"/>
          <w:i/>
          <w:lang w:bidi="ar-SA"/>
        </w:rPr>
        <w:t xml:space="preserve">functional </w:t>
      </w:r>
      <w:r w:rsidR="00011E0A" w:rsidRPr="005021AA">
        <w:rPr>
          <w:b w:val="0"/>
          <w:i/>
          <w:lang w:bidi="ar-SA"/>
        </w:rPr>
        <w:t>properties in food applications</w:t>
      </w:r>
    </w:p>
    <w:p w14:paraId="06FFE95C" w14:textId="77777777" w:rsidR="005021AA" w:rsidRPr="005021AA" w:rsidRDefault="005021AA" w:rsidP="005021AA">
      <w:pPr>
        <w:rPr>
          <w:lang w:bidi="ar-SA"/>
        </w:rPr>
      </w:pPr>
    </w:p>
    <w:tbl>
      <w:tblPr>
        <w:tblStyle w:val="TableGrid"/>
        <w:tblW w:w="0" w:type="auto"/>
        <w:tblLook w:val="04A0" w:firstRow="1" w:lastRow="0" w:firstColumn="1" w:lastColumn="0" w:noHBand="0" w:noVBand="1"/>
        <w:tblCaption w:val="Examples of functional properties for rapeseed protein isolate in food applications"/>
        <w:tblDescription w:val="Table 2.3 has 3 columns. The first lists functional properties. The second column lists examples of food applications. The third column lists use levels to achieve the functional property in the given food application. These use levels range from 0.5 to 30%"/>
      </w:tblPr>
      <w:tblGrid>
        <w:gridCol w:w="3020"/>
        <w:gridCol w:w="3020"/>
        <w:gridCol w:w="3020"/>
      </w:tblGrid>
      <w:tr w:rsidR="00CC21AC" w14:paraId="2BAE300B" w14:textId="77777777" w:rsidTr="00CC21AC">
        <w:tc>
          <w:tcPr>
            <w:tcW w:w="3020" w:type="dxa"/>
          </w:tcPr>
          <w:p w14:paraId="0C8EAB6D" w14:textId="08A1EA83" w:rsidR="00CC21AC" w:rsidRDefault="00CC21AC" w:rsidP="003A1075">
            <w:pPr>
              <w:pStyle w:val="FSTableHeading"/>
              <w:keepNext/>
              <w:keepLines/>
              <w:rPr>
                <w:lang w:bidi="ar-SA"/>
              </w:rPr>
            </w:pPr>
            <w:r>
              <w:rPr>
                <w:lang w:bidi="ar-SA"/>
              </w:rPr>
              <w:t>Functional property</w:t>
            </w:r>
          </w:p>
        </w:tc>
        <w:tc>
          <w:tcPr>
            <w:tcW w:w="3020" w:type="dxa"/>
          </w:tcPr>
          <w:p w14:paraId="5853247A" w14:textId="2527A7F9" w:rsidR="00CC21AC" w:rsidRDefault="003F52BA" w:rsidP="003A1075">
            <w:pPr>
              <w:pStyle w:val="FSTableHeading"/>
              <w:keepNext/>
              <w:keepLines/>
              <w:rPr>
                <w:lang w:bidi="ar-SA"/>
              </w:rPr>
            </w:pPr>
            <w:r>
              <w:rPr>
                <w:lang w:bidi="ar-SA"/>
              </w:rPr>
              <w:t>Example of food application</w:t>
            </w:r>
          </w:p>
        </w:tc>
        <w:tc>
          <w:tcPr>
            <w:tcW w:w="3020" w:type="dxa"/>
          </w:tcPr>
          <w:p w14:paraId="08AB38C9" w14:textId="57A25710" w:rsidR="00CC21AC" w:rsidRDefault="007C3F42" w:rsidP="003A1075">
            <w:pPr>
              <w:pStyle w:val="FSTableHeading"/>
              <w:keepNext/>
              <w:keepLines/>
              <w:rPr>
                <w:lang w:bidi="ar-SA"/>
              </w:rPr>
            </w:pPr>
            <w:r>
              <w:rPr>
                <w:lang w:bidi="ar-SA"/>
              </w:rPr>
              <w:t xml:space="preserve">Typical use </w:t>
            </w:r>
            <w:r w:rsidR="00CC21AC">
              <w:rPr>
                <w:lang w:bidi="ar-SA"/>
              </w:rPr>
              <w:t>level (%)</w:t>
            </w:r>
          </w:p>
        </w:tc>
      </w:tr>
      <w:tr w:rsidR="00CC21AC" w14:paraId="70B6FD4C" w14:textId="77777777" w:rsidTr="00CC21AC">
        <w:tc>
          <w:tcPr>
            <w:tcW w:w="3020" w:type="dxa"/>
          </w:tcPr>
          <w:p w14:paraId="5B31FEAF" w14:textId="60FF9633" w:rsidR="00CC21AC" w:rsidRDefault="00854F32" w:rsidP="0024721E">
            <w:pPr>
              <w:keepNext/>
              <w:keepLines/>
              <w:rPr>
                <w:lang w:bidi="ar-SA"/>
              </w:rPr>
            </w:pPr>
            <w:r>
              <w:rPr>
                <w:lang w:bidi="ar-SA"/>
              </w:rPr>
              <w:t>Thickener/Water binder</w:t>
            </w:r>
          </w:p>
        </w:tc>
        <w:tc>
          <w:tcPr>
            <w:tcW w:w="3020" w:type="dxa"/>
          </w:tcPr>
          <w:p w14:paraId="280453CC" w14:textId="424ACE16" w:rsidR="00CC21AC" w:rsidRDefault="00011E0A" w:rsidP="0024721E">
            <w:pPr>
              <w:keepNext/>
              <w:keepLines/>
              <w:rPr>
                <w:lang w:bidi="ar-SA"/>
              </w:rPr>
            </w:pPr>
            <w:r>
              <w:rPr>
                <w:lang w:bidi="ar-SA"/>
              </w:rPr>
              <w:t xml:space="preserve">In </w:t>
            </w:r>
            <w:r w:rsidR="00DA5213">
              <w:rPr>
                <w:lang w:bidi="ar-SA"/>
              </w:rPr>
              <w:t>dairy and plant based proteins</w:t>
            </w:r>
          </w:p>
        </w:tc>
        <w:tc>
          <w:tcPr>
            <w:tcW w:w="3020" w:type="dxa"/>
          </w:tcPr>
          <w:p w14:paraId="490F72E1" w14:textId="430DB8D7" w:rsidR="00CC21AC" w:rsidRDefault="00C025DD" w:rsidP="007C3F42">
            <w:pPr>
              <w:keepNext/>
              <w:keepLines/>
              <w:jc w:val="center"/>
              <w:rPr>
                <w:lang w:bidi="ar-SA"/>
              </w:rPr>
            </w:pPr>
            <w:r>
              <w:rPr>
                <w:lang w:bidi="ar-SA"/>
              </w:rPr>
              <w:t xml:space="preserve">3 </w:t>
            </w:r>
            <w:r w:rsidR="00011E0A">
              <w:rPr>
                <w:lang w:bidi="ar-SA"/>
              </w:rPr>
              <w:t xml:space="preserve">to </w:t>
            </w:r>
            <w:r>
              <w:rPr>
                <w:lang w:bidi="ar-SA"/>
              </w:rPr>
              <w:t>10</w:t>
            </w:r>
          </w:p>
        </w:tc>
      </w:tr>
      <w:tr w:rsidR="00CC21AC" w14:paraId="682A01E7" w14:textId="77777777" w:rsidTr="00CC21AC">
        <w:tc>
          <w:tcPr>
            <w:tcW w:w="3020" w:type="dxa"/>
          </w:tcPr>
          <w:p w14:paraId="37204B77" w14:textId="756421FC" w:rsidR="00CC21AC" w:rsidRDefault="00854F32" w:rsidP="0024721E">
            <w:pPr>
              <w:keepNext/>
              <w:keepLines/>
              <w:rPr>
                <w:lang w:bidi="ar-SA"/>
              </w:rPr>
            </w:pPr>
            <w:r>
              <w:rPr>
                <w:lang w:bidi="ar-SA"/>
              </w:rPr>
              <w:t>Emulsifier</w:t>
            </w:r>
          </w:p>
        </w:tc>
        <w:tc>
          <w:tcPr>
            <w:tcW w:w="3020" w:type="dxa"/>
          </w:tcPr>
          <w:p w14:paraId="1CF18D4B" w14:textId="063167C1" w:rsidR="00CC21AC" w:rsidRDefault="003D2328" w:rsidP="0024721E">
            <w:pPr>
              <w:keepNext/>
              <w:keepLines/>
              <w:rPr>
                <w:lang w:bidi="ar-SA"/>
              </w:rPr>
            </w:pPr>
            <w:r>
              <w:rPr>
                <w:lang w:bidi="ar-SA"/>
              </w:rPr>
              <w:t xml:space="preserve">Replacement </w:t>
            </w:r>
            <w:r w:rsidR="00DA5213">
              <w:rPr>
                <w:lang w:bidi="ar-SA"/>
              </w:rPr>
              <w:t>for</w:t>
            </w:r>
            <w:r w:rsidR="00011E0A">
              <w:rPr>
                <w:lang w:bidi="ar-SA"/>
              </w:rPr>
              <w:t xml:space="preserve"> egg yolk in mayonnaise</w:t>
            </w:r>
          </w:p>
          <w:p w14:paraId="6CFBDBA2" w14:textId="4926F2A3" w:rsidR="00011E0A" w:rsidRDefault="003D2328" w:rsidP="0024721E">
            <w:pPr>
              <w:keepNext/>
              <w:keepLines/>
              <w:rPr>
                <w:lang w:bidi="ar-SA"/>
              </w:rPr>
            </w:pPr>
            <w:r>
              <w:rPr>
                <w:lang w:bidi="ar-SA"/>
              </w:rPr>
              <w:t xml:space="preserve">Replacement </w:t>
            </w:r>
            <w:r w:rsidR="00DA5213">
              <w:rPr>
                <w:lang w:bidi="ar-SA"/>
              </w:rPr>
              <w:t>for</w:t>
            </w:r>
            <w:r w:rsidR="00011E0A">
              <w:rPr>
                <w:lang w:bidi="ar-SA"/>
              </w:rPr>
              <w:t xml:space="preserve"> mono-diglycerides in baked goods and sauces</w:t>
            </w:r>
          </w:p>
        </w:tc>
        <w:tc>
          <w:tcPr>
            <w:tcW w:w="3020" w:type="dxa"/>
          </w:tcPr>
          <w:p w14:paraId="1525DA07" w14:textId="088F8BED" w:rsidR="00CC21AC" w:rsidRDefault="00011E0A" w:rsidP="003A1075">
            <w:pPr>
              <w:keepNext/>
              <w:keepLines/>
              <w:jc w:val="center"/>
              <w:rPr>
                <w:lang w:bidi="ar-SA"/>
              </w:rPr>
            </w:pPr>
            <w:r>
              <w:rPr>
                <w:lang w:bidi="ar-SA"/>
              </w:rPr>
              <w:t>0.5 to 3</w:t>
            </w:r>
          </w:p>
        </w:tc>
      </w:tr>
      <w:tr w:rsidR="00CC21AC" w14:paraId="43454202" w14:textId="77777777" w:rsidTr="00CC21AC">
        <w:tc>
          <w:tcPr>
            <w:tcW w:w="3020" w:type="dxa"/>
          </w:tcPr>
          <w:p w14:paraId="2E97E013" w14:textId="2ADEADA4" w:rsidR="00CC21AC" w:rsidRDefault="00011E0A" w:rsidP="0024721E">
            <w:pPr>
              <w:keepNext/>
              <w:keepLines/>
              <w:rPr>
                <w:lang w:bidi="ar-SA"/>
              </w:rPr>
            </w:pPr>
            <w:r>
              <w:rPr>
                <w:lang w:bidi="ar-SA"/>
              </w:rPr>
              <w:t>Foaming agent</w:t>
            </w:r>
          </w:p>
        </w:tc>
        <w:tc>
          <w:tcPr>
            <w:tcW w:w="3020" w:type="dxa"/>
          </w:tcPr>
          <w:p w14:paraId="7E86A183" w14:textId="77777777" w:rsidR="00011E0A" w:rsidRDefault="00011E0A" w:rsidP="0024721E">
            <w:pPr>
              <w:keepNext/>
              <w:keepLines/>
              <w:rPr>
                <w:lang w:bidi="ar-SA"/>
              </w:rPr>
            </w:pPr>
            <w:r>
              <w:rPr>
                <w:lang w:bidi="ar-SA"/>
              </w:rPr>
              <w:t>In ice cream to provide a light foamy product</w:t>
            </w:r>
          </w:p>
          <w:p w14:paraId="137BF4A0" w14:textId="37BE26C0" w:rsidR="00011E0A" w:rsidRDefault="003D2328" w:rsidP="0024721E">
            <w:pPr>
              <w:keepNext/>
              <w:keepLines/>
              <w:rPr>
                <w:lang w:bidi="ar-SA"/>
              </w:rPr>
            </w:pPr>
            <w:r>
              <w:rPr>
                <w:lang w:bidi="ar-SA"/>
              </w:rPr>
              <w:t xml:space="preserve">Replacement </w:t>
            </w:r>
            <w:r w:rsidR="001F00BC">
              <w:rPr>
                <w:lang w:bidi="ar-SA"/>
              </w:rPr>
              <w:t>for</w:t>
            </w:r>
            <w:r w:rsidR="00011E0A">
              <w:rPr>
                <w:lang w:bidi="ar-SA"/>
              </w:rPr>
              <w:t xml:space="preserve"> egg white in baked products</w:t>
            </w:r>
          </w:p>
        </w:tc>
        <w:tc>
          <w:tcPr>
            <w:tcW w:w="3020" w:type="dxa"/>
          </w:tcPr>
          <w:p w14:paraId="0DF2200A" w14:textId="77777777" w:rsidR="00CC21AC" w:rsidRDefault="00011E0A" w:rsidP="003A1075">
            <w:pPr>
              <w:keepNext/>
              <w:keepLines/>
              <w:jc w:val="center"/>
              <w:rPr>
                <w:lang w:bidi="ar-SA"/>
              </w:rPr>
            </w:pPr>
            <w:r>
              <w:rPr>
                <w:lang w:bidi="ar-SA"/>
              </w:rPr>
              <w:t>1 to 4</w:t>
            </w:r>
          </w:p>
          <w:p w14:paraId="5A19E872" w14:textId="77777777" w:rsidR="00011E0A" w:rsidRDefault="00011E0A" w:rsidP="003A1075">
            <w:pPr>
              <w:keepNext/>
              <w:keepLines/>
              <w:jc w:val="center"/>
              <w:rPr>
                <w:lang w:bidi="ar-SA"/>
              </w:rPr>
            </w:pPr>
          </w:p>
          <w:p w14:paraId="156448B0" w14:textId="4C1B9B19" w:rsidR="00011E0A" w:rsidRDefault="00011E0A" w:rsidP="003A1075">
            <w:pPr>
              <w:keepNext/>
              <w:keepLines/>
              <w:jc w:val="center"/>
              <w:rPr>
                <w:lang w:bidi="ar-SA"/>
              </w:rPr>
            </w:pPr>
          </w:p>
        </w:tc>
      </w:tr>
      <w:tr w:rsidR="00CC21AC" w14:paraId="404B7EB5" w14:textId="77777777" w:rsidTr="00CC21AC">
        <w:tc>
          <w:tcPr>
            <w:tcW w:w="3020" w:type="dxa"/>
          </w:tcPr>
          <w:p w14:paraId="530217CC" w14:textId="0B6A5A1D" w:rsidR="00CC21AC" w:rsidRDefault="00011E0A" w:rsidP="0024721E">
            <w:pPr>
              <w:keepNext/>
              <w:keepLines/>
              <w:rPr>
                <w:lang w:bidi="ar-SA"/>
              </w:rPr>
            </w:pPr>
            <w:r>
              <w:rPr>
                <w:lang w:bidi="ar-SA"/>
              </w:rPr>
              <w:t>Texturiser</w:t>
            </w:r>
          </w:p>
        </w:tc>
        <w:tc>
          <w:tcPr>
            <w:tcW w:w="3020" w:type="dxa"/>
          </w:tcPr>
          <w:p w14:paraId="1257DB7B" w14:textId="4A015585" w:rsidR="00CC21AC" w:rsidRDefault="00011E0A" w:rsidP="003D2328">
            <w:pPr>
              <w:keepNext/>
              <w:keepLines/>
              <w:rPr>
                <w:lang w:bidi="ar-SA"/>
              </w:rPr>
            </w:pPr>
            <w:r>
              <w:rPr>
                <w:lang w:bidi="ar-SA"/>
              </w:rPr>
              <w:t>A</w:t>
            </w:r>
            <w:r w:rsidDel="003D2328">
              <w:rPr>
                <w:lang w:bidi="ar-SA"/>
              </w:rPr>
              <w:t xml:space="preserve"> </w:t>
            </w:r>
            <w:r w:rsidR="003D2328">
              <w:rPr>
                <w:lang w:bidi="ar-SA"/>
              </w:rPr>
              <w:t xml:space="preserve">replacement </w:t>
            </w:r>
            <w:r>
              <w:rPr>
                <w:lang w:bidi="ar-SA"/>
              </w:rPr>
              <w:t>for gluten in baked products</w:t>
            </w:r>
          </w:p>
        </w:tc>
        <w:tc>
          <w:tcPr>
            <w:tcW w:w="3020" w:type="dxa"/>
          </w:tcPr>
          <w:p w14:paraId="4F8BC683" w14:textId="0AE25E3A" w:rsidR="00CC21AC" w:rsidRDefault="007C3F42" w:rsidP="003A1075">
            <w:pPr>
              <w:keepNext/>
              <w:keepLines/>
              <w:jc w:val="center"/>
              <w:rPr>
                <w:lang w:bidi="ar-SA"/>
              </w:rPr>
            </w:pPr>
            <w:r>
              <w:rPr>
                <w:lang w:bidi="ar-SA"/>
              </w:rPr>
              <w:t>5 to 10</w:t>
            </w:r>
          </w:p>
        </w:tc>
      </w:tr>
    </w:tbl>
    <w:p w14:paraId="605D4CC1" w14:textId="77777777" w:rsidR="004E3209" w:rsidRDefault="004E3209" w:rsidP="004E3209"/>
    <w:p w14:paraId="18A75863" w14:textId="31D7F03A" w:rsidR="00311FA5" w:rsidRDefault="00B13F54" w:rsidP="00E41BD5">
      <w:pPr>
        <w:pStyle w:val="Heading2"/>
      </w:pPr>
      <w:bookmarkStart w:id="251" w:name="_Toc38549485"/>
      <w:bookmarkStart w:id="252" w:name="_Toc38634143"/>
      <w:bookmarkStart w:id="253" w:name="_Toc39571016"/>
      <w:bookmarkStart w:id="254" w:name="_Toc39579271"/>
      <w:bookmarkStart w:id="255" w:name="_Toc39579334"/>
      <w:bookmarkStart w:id="256" w:name="_Toc39587092"/>
      <w:bookmarkStart w:id="257" w:name="_Toc39582484"/>
      <w:bookmarkStart w:id="258" w:name="_Toc40264899"/>
      <w:bookmarkStart w:id="259" w:name="_Toc40266375"/>
      <w:bookmarkStart w:id="260" w:name="_Toc40279707"/>
      <w:bookmarkStart w:id="261" w:name="_Toc40282009"/>
      <w:bookmarkStart w:id="262" w:name="_Toc40282171"/>
      <w:bookmarkStart w:id="263" w:name="_Toc40360501"/>
      <w:bookmarkStart w:id="264" w:name="_Toc40353544"/>
      <w:bookmarkStart w:id="265" w:name="_Toc40366891"/>
      <w:bookmarkStart w:id="266" w:name="_Toc40368223"/>
      <w:bookmarkStart w:id="267" w:name="_Toc40382830"/>
      <w:bookmarkStart w:id="268" w:name="_Toc40431030"/>
      <w:bookmarkStart w:id="269" w:name="_Toc40432968"/>
      <w:bookmarkStart w:id="270" w:name="_Toc40447653"/>
      <w:bookmarkStart w:id="271" w:name="_Toc40441182"/>
      <w:bookmarkStart w:id="272" w:name="_Toc40448518"/>
      <w:bookmarkStart w:id="273" w:name="_Toc40449945"/>
      <w:bookmarkStart w:id="274" w:name="_Toc40968290"/>
      <w:bookmarkStart w:id="275" w:name="_Toc41051012"/>
      <w:bookmarkStart w:id="276" w:name="_Toc41046012"/>
      <w:bookmarkStart w:id="277" w:name="_Toc41053470"/>
      <w:bookmarkStart w:id="278" w:name="_Toc44592641"/>
      <w:bookmarkStart w:id="279" w:name="_Toc44596153"/>
      <w:bookmarkStart w:id="280" w:name="_Toc44604548"/>
      <w:bookmarkStart w:id="281" w:name="_Toc54169697"/>
      <w:bookmarkStart w:id="282" w:name="_Toc56089986"/>
      <w:r>
        <w:t>2.4</w:t>
      </w:r>
      <w:r w:rsidR="005021AA">
        <w:tab/>
      </w:r>
      <w:r w:rsidR="00311FA5">
        <w:t>Technological justification</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F2B538C" w14:textId="39565AFD" w:rsidR="00754FFB" w:rsidRDefault="00BD72C1" w:rsidP="00114270">
      <w:pPr>
        <w:rPr>
          <w:lang w:bidi="ar-SA"/>
        </w:rPr>
      </w:pPr>
      <w:r>
        <w:rPr>
          <w:lang w:bidi="ar-SA"/>
        </w:rPr>
        <w:t>R</w:t>
      </w:r>
      <w:r w:rsidR="00114270">
        <w:rPr>
          <w:lang w:bidi="ar-SA"/>
        </w:rPr>
        <w:t xml:space="preserve">apeseed protein </w:t>
      </w:r>
      <w:r w:rsidR="0025648A">
        <w:rPr>
          <w:lang w:bidi="ar-SA"/>
        </w:rPr>
        <w:t xml:space="preserve">isolate </w:t>
      </w:r>
      <w:r w:rsidR="00114270">
        <w:rPr>
          <w:lang w:bidi="ar-SA"/>
        </w:rPr>
        <w:t xml:space="preserve">can </w:t>
      </w:r>
      <w:r w:rsidR="00DA5213">
        <w:rPr>
          <w:lang w:bidi="ar-SA"/>
        </w:rPr>
        <w:t xml:space="preserve">be used </w:t>
      </w:r>
      <w:r w:rsidR="001F00BC">
        <w:rPr>
          <w:lang w:bidi="ar-SA"/>
        </w:rPr>
        <w:t>to replace</w:t>
      </w:r>
      <w:r w:rsidR="00DA5213" w:rsidDel="00647AA8">
        <w:rPr>
          <w:lang w:bidi="ar-SA"/>
        </w:rPr>
        <w:t xml:space="preserve"> </w:t>
      </w:r>
      <w:r w:rsidR="00DA5213">
        <w:rPr>
          <w:lang w:bidi="ar-SA"/>
        </w:rPr>
        <w:t xml:space="preserve">protein </w:t>
      </w:r>
      <w:r w:rsidR="00660852" w:rsidRPr="000E5657">
        <w:rPr>
          <w:lang w:bidi="ar-SA"/>
        </w:rPr>
        <w:t>from</w:t>
      </w:r>
      <w:r w:rsidR="00241088" w:rsidRPr="000E5657">
        <w:rPr>
          <w:lang w:bidi="ar-SA"/>
        </w:rPr>
        <w:t xml:space="preserve"> </w:t>
      </w:r>
      <w:r w:rsidR="00241088">
        <w:rPr>
          <w:lang w:bidi="ar-SA"/>
        </w:rPr>
        <w:t xml:space="preserve">animal </w:t>
      </w:r>
      <w:r w:rsidR="001F00BC">
        <w:rPr>
          <w:lang w:bidi="ar-SA"/>
        </w:rPr>
        <w:t>and</w:t>
      </w:r>
      <w:r w:rsidR="00241088">
        <w:rPr>
          <w:lang w:bidi="ar-SA"/>
        </w:rPr>
        <w:t xml:space="preserve"> </w:t>
      </w:r>
      <w:r w:rsidR="00981B03">
        <w:rPr>
          <w:lang w:bidi="ar-SA"/>
        </w:rPr>
        <w:t xml:space="preserve">other </w:t>
      </w:r>
      <w:r w:rsidR="00241088">
        <w:rPr>
          <w:lang w:bidi="ar-SA"/>
        </w:rPr>
        <w:t>plant</w:t>
      </w:r>
      <w:r w:rsidR="00981B03" w:rsidRPr="000E5657">
        <w:rPr>
          <w:lang w:bidi="ar-SA"/>
        </w:rPr>
        <w:t xml:space="preserve"> sources</w:t>
      </w:r>
      <w:r w:rsidR="001F00BC">
        <w:rPr>
          <w:lang w:bidi="ar-SA"/>
        </w:rPr>
        <w:t>, including for use in new product development</w:t>
      </w:r>
      <w:r w:rsidR="00241088">
        <w:rPr>
          <w:lang w:bidi="ar-SA"/>
        </w:rPr>
        <w:t xml:space="preserve"> </w:t>
      </w:r>
      <w:r w:rsidR="003B1AF5">
        <w:rPr>
          <w:lang w:bidi="ar-SA"/>
        </w:rPr>
        <w:t xml:space="preserve">in a </w:t>
      </w:r>
      <w:r w:rsidR="003B1AF5" w:rsidRPr="003B1AF5">
        <w:t xml:space="preserve">range of food </w:t>
      </w:r>
      <w:r w:rsidR="00EC2FC8">
        <w:t>classes</w:t>
      </w:r>
      <w:r w:rsidR="00351AB4">
        <w:t xml:space="preserve"> at </w:t>
      </w:r>
      <w:r w:rsidR="005A1A5D">
        <w:t xml:space="preserve">proposed </w:t>
      </w:r>
      <w:r w:rsidR="00351AB4">
        <w:t>typical use levels up to 10%.</w:t>
      </w:r>
    </w:p>
    <w:p w14:paraId="189BF85A" w14:textId="5C2E7F19" w:rsidR="00311FA5" w:rsidRDefault="00754FFB" w:rsidP="00E41BD5">
      <w:pPr>
        <w:pStyle w:val="Heading2"/>
      </w:pPr>
      <w:bookmarkStart w:id="283" w:name="_Toc38549486"/>
      <w:bookmarkStart w:id="284" w:name="_Toc38634144"/>
      <w:bookmarkStart w:id="285" w:name="_Toc39571017"/>
      <w:bookmarkStart w:id="286" w:name="_Toc39579272"/>
      <w:bookmarkStart w:id="287" w:name="_Toc39579335"/>
      <w:bookmarkStart w:id="288" w:name="_Toc39587093"/>
      <w:bookmarkStart w:id="289" w:name="_Toc39582485"/>
      <w:bookmarkStart w:id="290" w:name="_Toc40264900"/>
      <w:bookmarkStart w:id="291" w:name="_Toc40266376"/>
      <w:bookmarkStart w:id="292" w:name="_Toc40279708"/>
      <w:bookmarkStart w:id="293" w:name="_Toc40282010"/>
      <w:bookmarkStart w:id="294" w:name="_Toc40282172"/>
      <w:bookmarkStart w:id="295" w:name="_Toc40360502"/>
      <w:bookmarkStart w:id="296" w:name="_Toc40353545"/>
      <w:bookmarkStart w:id="297" w:name="_Toc40366892"/>
      <w:bookmarkStart w:id="298" w:name="_Toc40368224"/>
      <w:bookmarkStart w:id="299" w:name="_Toc40382831"/>
      <w:bookmarkStart w:id="300" w:name="_Toc40431031"/>
      <w:bookmarkStart w:id="301" w:name="_Toc40432969"/>
      <w:bookmarkStart w:id="302" w:name="_Toc40447654"/>
      <w:bookmarkStart w:id="303" w:name="_Toc40441183"/>
      <w:bookmarkStart w:id="304" w:name="_Toc40448519"/>
      <w:bookmarkStart w:id="305" w:name="_Toc40449946"/>
      <w:bookmarkStart w:id="306" w:name="_Toc40968291"/>
      <w:bookmarkStart w:id="307" w:name="_Toc41051013"/>
      <w:bookmarkStart w:id="308" w:name="_Toc41046013"/>
      <w:bookmarkStart w:id="309" w:name="_Toc41053471"/>
      <w:bookmarkStart w:id="310" w:name="_Toc44592642"/>
      <w:bookmarkStart w:id="311" w:name="_Toc44596154"/>
      <w:bookmarkStart w:id="312" w:name="_Toc44604549"/>
      <w:bookmarkStart w:id="313" w:name="_Toc54169698"/>
      <w:bookmarkStart w:id="314" w:name="_Toc56089987"/>
      <w:r>
        <w:t>2.5</w:t>
      </w:r>
      <w:r w:rsidR="005021AA">
        <w:tab/>
      </w:r>
      <w:r w:rsidR="00311FA5">
        <w:t xml:space="preserve">The </w:t>
      </w:r>
      <w:r w:rsidR="00062BFA">
        <w:t>manufacturing process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48B8BB1D" w14:textId="57CF22A6" w:rsidR="003921A0" w:rsidRDefault="00D7625B" w:rsidP="003921A0">
      <w:pPr>
        <w:rPr>
          <w:lang w:bidi="ar-SA"/>
        </w:rPr>
      </w:pPr>
      <w:r>
        <w:rPr>
          <w:lang w:bidi="ar-SA"/>
        </w:rPr>
        <w:t xml:space="preserve">Rapeseed protein isolate is derived via extraction from rapeseed press cake </w:t>
      </w:r>
      <w:r w:rsidRPr="00D7625B">
        <w:rPr>
          <w:lang w:bidi="ar-SA"/>
        </w:rPr>
        <w:t>that is retained after oil pressing from the</w:t>
      </w:r>
      <w:r>
        <w:rPr>
          <w:lang w:bidi="ar-SA"/>
        </w:rPr>
        <w:t xml:space="preserve"> seeds of one or more of</w:t>
      </w:r>
      <w:r w:rsidRPr="00D7625B">
        <w:rPr>
          <w:lang w:bidi="ar-SA"/>
        </w:rPr>
        <w:t xml:space="preserve"> </w:t>
      </w:r>
      <w:r w:rsidRPr="00D7625B">
        <w:rPr>
          <w:i/>
          <w:lang w:bidi="ar-SA"/>
        </w:rPr>
        <w:t>Brassica napus</w:t>
      </w:r>
      <w:r w:rsidRPr="00D7625B">
        <w:rPr>
          <w:lang w:bidi="ar-SA"/>
        </w:rPr>
        <w:t xml:space="preserve">, </w:t>
      </w:r>
      <w:r w:rsidRPr="00D7625B">
        <w:rPr>
          <w:i/>
          <w:lang w:bidi="ar-SA"/>
        </w:rPr>
        <w:t>Brassica rapa or Brassica juncea</w:t>
      </w:r>
      <w:r>
        <w:rPr>
          <w:i/>
          <w:lang w:bidi="ar-SA"/>
        </w:rPr>
        <w:t>.</w:t>
      </w:r>
      <w:r>
        <w:rPr>
          <w:lang w:bidi="ar-SA"/>
        </w:rPr>
        <w:t xml:space="preserve"> </w:t>
      </w:r>
      <w:r w:rsidR="0008709E">
        <w:rPr>
          <w:lang w:bidi="ar-SA"/>
        </w:rPr>
        <w:t xml:space="preserve">The rapeseed protein </w:t>
      </w:r>
      <w:r w:rsidR="000E69DC">
        <w:rPr>
          <w:lang w:bidi="ar-SA"/>
        </w:rPr>
        <w:t xml:space="preserve">isolate </w:t>
      </w:r>
      <w:r w:rsidR="0008709E">
        <w:rPr>
          <w:lang w:bidi="ar-SA"/>
        </w:rPr>
        <w:t>is produced from rapeseed press cake that remains after the cleaned, flaked and conditioned seeds have been pressed to separate the oil.</w:t>
      </w:r>
      <w:r w:rsidR="007077E9">
        <w:rPr>
          <w:lang w:bidi="ar-SA"/>
        </w:rPr>
        <w:t xml:space="preserve"> </w:t>
      </w:r>
      <w:r w:rsidR="00B22AC7">
        <w:rPr>
          <w:lang w:bidi="ar-SA"/>
        </w:rPr>
        <w:t>Any ingredients, food additives and processing aids used in the manufacturing process are food grade</w:t>
      </w:r>
      <w:r w:rsidR="00FA6EA0">
        <w:rPr>
          <w:lang w:bidi="ar-SA"/>
        </w:rPr>
        <w:t xml:space="preserve"> </w:t>
      </w:r>
      <w:r w:rsidR="00F57151">
        <w:rPr>
          <w:lang w:bidi="ar-SA"/>
        </w:rPr>
        <w:t>and must be permitted in the relevant standards and schedules in the Code</w:t>
      </w:r>
      <w:r w:rsidR="00FD7BA9">
        <w:rPr>
          <w:lang w:bidi="ar-SA"/>
        </w:rPr>
        <w:t>.</w:t>
      </w:r>
    </w:p>
    <w:p w14:paraId="1FDBE565" w14:textId="023D1937" w:rsidR="003921A0" w:rsidRDefault="003921A0" w:rsidP="00EC4F80">
      <w:pPr>
        <w:rPr>
          <w:lang w:bidi="ar-SA"/>
        </w:rPr>
      </w:pPr>
    </w:p>
    <w:p w14:paraId="7CFCF751" w14:textId="7648916E" w:rsidR="003921A0" w:rsidRDefault="003921A0" w:rsidP="00EC4F80">
      <w:pPr>
        <w:rPr>
          <w:lang w:bidi="ar-SA"/>
        </w:rPr>
      </w:pPr>
      <w:r>
        <w:rPr>
          <w:lang w:bidi="ar-SA"/>
        </w:rPr>
        <w:t xml:space="preserve">Protein isolate preparation is usually by aqueous extraction in preference to dry fractionation and </w:t>
      </w:r>
      <w:r w:rsidR="00355A80">
        <w:rPr>
          <w:lang w:bidi="ar-SA"/>
        </w:rPr>
        <w:t>can</w:t>
      </w:r>
      <w:r w:rsidR="003D45E9">
        <w:rPr>
          <w:lang w:bidi="ar-SA"/>
        </w:rPr>
        <w:t xml:space="preserve"> be more effective in </w:t>
      </w:r>
      <w:r>
        <w:rPr>
          <w:lang w:bidi="ar-SA"/>
        </w:rPr>
        <w:t xml:space="preserve">reducing anti-nutritional </w:t>
      </w:r>
      <w:r w:rsidR="003D45E9">
        <w:rPr>
          <w:lang w:bidi="ar-SA"/>
        </w:rPr>
        <w:t>compounds</w:t>
      </w:r>
      <w:r w:rsidR="00355A80">
        <w:rPr>
          <w:lang w:bidi="ar-SA"/>
        </w:rPr>
        <w:t xml:space="preserve"> (Campbell et. al., 2016)</w:t>
      </w:r>
      <w:r>
        <w:rPr>
          <w:lang w:bidi="ar-SA"/>
        </w:rPr>
        <w:t>. Cold pressing also</w:t>
      </w:r>
      <w:r w:rsidR="003D45E9">
        <w:rPr>
          <w:lang w:bidi="ar-SA"/>
        </w:rPr>
        <w:t xml:space="preserve"> results in less heat damage, thereby minimising</w:t>
      </w:r>
      <w:r>
        <w:rPr>
          <w:lang w:bidi="ar-SA"/>
        </w:rPr>
        <w:t xml:space="preserve"> changes to solubility, flavour and colour of the protein. </w:t>
      </w:r>
      <w:r w:rsidR="00355A80">
        <w:rPr>
          <w:lang w:bidi="ar-SA"/>
        </w:rPr>
        <w:t>There are some technologies such as centrifuges and enzyme assisted processes that eliminate the need for the use of solvents or chemicals during processing (Campbell et. al., 2016).</w:t>
      </w:r>
    </w:p>
    <w:p w14:paraId="3E6E7F80" w14:textId="77777777" w:rsidR="003921A0" w:rsidRDefault="003921A0" w:rsidP="00EC4F80">
      <w:pPr>
        <w:rPr>
          <w:lang w:bidi="ar-SA"/>
        </w:rPr>
      </w:pPr>
    </w:p>
    <w:p w14:paraId="19B87E04" w14:textId="5FAFD446" w:rsidR="006F53DB" w:rsidRDefault="006F53DB" w:rsidP="006F53DB">
      <w:pPr>
        <w:rPr>
          <w:lang w:bidi="ar-SA"/>
        </w:rPr>
      </w:pPr>
      <w:r>
        <w:rPr>
          <w:lang w:bidi="ar-SA"/>
        </w:rPr>
        <w:t>An overview and example of the manufacturing process is summarised in Figure 2.1.</w:t>
      </w:r>
      <w:r w:rsidR="00350784">
        <w:rPr>
          <w:lang w:bidi="ar-SA"/>
        </w:rPr>
        <w:t xml:space="preserve"> The proce</w:t>
      </w:r>
      <w:r w:rsidR="00504F0F">
        <w:rPr>
          <w:lang w:bidi="ar-SA"/>
        </w:rPr>
        <w:t>ssing temperature of the wet-processing production stages up</w:t>
      </w:r>
      <w:r w:rsidR="00340FC4">
        <w:rPr>
          <w:lang w:bidi="ar-SA"/>
        </w:rPr>
        <w:t xml:space="preserve"> </w:t>
      </w:r>
      <w:r w:rsidR="00504F0F">
        <w:rPr>
          <w:lang w:bidi="ar-SA"/>
        </w:rPr>
        <w:t xml:space="preserve">to to spray drying are maintained at temperatures were </w:t>
      </w:r>
      <w:r w:rsidR="00504F0F" w:rsidRPr="00504F0F">
        <w:rPr>
          <w:i/>
          <w:lang w:bidi="ar-SA"/>
        </w:rPr>
        <w:t>Salmonella</w:t>
      </w:r>
      <w:r w:rsidR="00504F0F">
        <w:rPr>
          <w:lang w:bidi="ar-SA"/>
        </w:rPr>
        <w:t xml:space="preserve"> spp. are not able to grow </w:t>
      </w:r>
      <w:r w:rsidR="00504F0F" w:rsidRPr="00F653E4">
        <w:rPr>
          <w:lang w:bidi="ar-SA"/>
        </w:rPr>
        <w:t>(DSM</w:t>
      </w:r>
      <w:r w:rsidR="00F653E4" w:rsidRPr="00F653E4">
        <w:rPr>
          <w:lang w:bidi="ar-SA"/>
        </w:rPr>
        <w:t xml:space="preserve"> </w:t>
      </w:r>
      <w:r w:rsidR="00C22571" w:rsidRPr="00F653E4">
        <w:rPr>
          <w:lang w:bidi="ar-SA"/>
        </w:rPr>
        <w:t>Submission</w:t>
      </w:r>
      <w:r w:rsidR="00F653E4" w:rsidRPr="00F653E4">
        <w:rPr>
          <w:lang w:bidi="ar-SA"/>
        </w:rPr>
        <w:t xml:space="preserve">, 2020). </w:t>
      </w:r>
    </w:p>
    <w:p w14:paraId="058C349C" w14:textId="19A4EFAE" w:rsidR="00924B42" w:rsidRDefault="00924B42" w:rsidP="00EC4F80">
      <w:pPr>
        <w:rPr>
          <w:lang w:bidi="ar-SA"/>
        </w:rPr>
      </w:pPr>
    </w:p>
    <w:p w14:paraId="4780AC32" w14:textId="27091314" w:rsidR="0010567D" w:rsidRDefault="0010567D">
      <w:pPr>
        <w:widowControl/>
        <w:rPr>
          <w:rFonts w:cs="Arial"/>
          <w:i/>
          <w:lang w:bidi="ar-SA"/>
        </w:rPr>
      </w:pPr>
      <w:r>
        <w:rPr>
          <w:lang w:bidi="ar-SA"/>
        </w:rPr>
        <w:br w:type="page"/>
      </w:r>
    </w:p>
    <w:p w14:paraId="678BA24D" w14:textId="7A37C039" w:rsidR="00D4319E" w:rsidRDefault="00D4319E" w:rsidP="008F68FA">
      <w:pPr>
        <w:pStyle w:val="FSFigureTitle"/>
        <w:keepNext/>
        <w:keepLines/>
        <w:rPr>
          <w:lang w:bidi="ar-SA"/>
        </w:rPr>
      </w:pPr>
      <w:r w:rsidRPr="00B902E4">
        <w:rPr>
          <w:b/>
          <w:lang w:bidi="ar-SA"/>
        </w:rPr>
        <w:t xml:space="preserve">Figure </w:t>
      </w:r>
      <w:r w:rsidR="00B33F79" w:rsidRPr="00B902E4">
        <w:rPr>
          <w:b/>
          <w:lang w:bidi="ar-SA"/>
        </w:rPr>
        <w:t>2.</w:t>
      </w:r>
      <w:r w:rsidRPr="00B902E4">
        <w:rPr>
          <w:b/>
          <w:lang w:bidi="ar-SA"/>
        </w:rPr>
        <w:t>1</w:t>
      </w:r>
      <w:r w:rsidR="00B902E4">
        <w:rPr>
          <w:lang w:bidi="ar-SA"/>
        </w:rPr>
        <w:tab/>
      </w:r>
      <w:r w:rsidR="000F47FF">
        <w:rPr>
          <w:lang w:bidi="ar-SA"/>
        </w:rPr>
        <w:t>An overview for the manufacturing process for rapeseed protein isolate</w:t>
      </w:r>
    </w:p>
    <w:p w14:paraId="218241BE" w14:textId="77777777" w:rsidR="00924B42" w:rsidRPr="00427B0A" w:rsidRDefault="00924B42" w:rsidP="008F68FA">
      <w:pPr>
        <w:keepNext/>
        <w:keepLines/>
        <w:rPr>
          <w:sz w:val="16"/>
          <w:szCs w:val="16"/>
          <w:lang w:bidi="ar-SA"/>
        </w:rPr>
      </w:pPr>
      <w:r w:rsidRPr="008C123A">
        <w:rPr>
          <w:rFonts w:asciiTheme="minorHAnsi" w:hAnsiTheme="minorHAnsi"/>
          <w:noProof/>
          <w:sz w:val="16"/>
          <w:szCs w:val="16"/>
          <w:lang w:eastAsia="en-GB" w:bidi="ar-SA"/>
        </w:rPr>
        <w:drawing>
          <wp:inline distT="0" distB="0" distL="0" distR="0" wp14:anchorId="5F0CCB51" wp14:editId="48608096">
            <wp:extent cx="6483350" cy="6794500"/>
            <wp:effectExtent l="38100" t="1085850" r="0" b="4826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0B084B7" w14:textId="77777777" w:rsidR="00B902E4" w:rsidRDefault="00B902E4">
      <w:pPr>
        <w:widowControl/>
        <w:rPr>
          <w:sz w:val="16"/>
          <w:szCs w:val="16"/>
          <w:lang w:bidi="ar-SA"/>
        </w:rPr>
      </w:pPr>
      <w:r>
        <w:rPr>
          <w:sz w:val="16"/>
          <w:szCs w:val="16"/>
          <w:lang w:bidi="ar-SA"/>
        </w:rPr>
        <w:br w:type="page"/>
      </w:r>
    </w:p>
    <w:p w14:paraId="4E946C39" w14:textId="0C1EB60B" w:rsidR="007368AC" w:rsidRDefault="00B13F54" w:rsidP="00E41BD5">
      <w:pPr>
        <w:pStyle w:val="Heading2"/>
      </w:pPr>
      <w:bookmarkStart w:id="315" w:name="_Toc38549487"/>
      <w:bookmarkStart w:id="316" w:name="_Toc38634145"/>
      <w:bookmarkStart w:id="317" w:name="_Toc39571018"/>
      <w:bookmarkStart w:id="318" w:name="_Toc39579273"/>
      <w:bookmarkStart w:id="319" w:name="_Toc39579336"/>
      <w:bookmarkStart w:id="320" w:name="_Toc39587094"/>
      <w:bookmarkStart w:id="321" w:name="_Toc39582486"/>
      <w:bookmarkStart w:id="322" w:name="_Toc40264901"/>
      <w:bookmarkStart w:id="323" w:name="_Toc40266377"/>
      <w:bookmarkStart w:id="324" w:name="_Toc40279709"/>
      <w:bookmarkStart w:id="325" w:name="_Toc40282011"/>
      <w:bookmarkStart w:id="326" w:name="_Toc40282173"/>
      <w:bookmarkStart w:id="327" w:name="_Toc40360503"/>
      <w:bookmarkStart w:id="328" w:name="_Toc40353546"/>
      <w:bookmarkStart w:id="329" w:name="_Toc40366893"/>
      <w:bookmarkStart w:id="330" w:name="_Toc40368225"/>
      <w:bookmarkStart w:id="331" w:name="_Toc40382832"/>
      <w:bookmarkStart w:id="332" w:name="_Toc40431032"/>
      <w:bookmarkStart w:id="333" w:name="_Toc40432970"/>
      <w:bookmarkStart w:id="334" w:name="_Toc40447655"/>
      <w:bookmarkStart w:id="335" w:name="_Toc40441184"/>
      <w:bookmarkStart w:id="336" w:name="_Toc40448520"/>
      <w:bookmarkStart w:id="337" w:name="_Toc40449947"/>
      <w:bookmarkStart w:id="338" w:name="_Toc40968292"/>
      <w:bookmarkStart w:id="339" w:name="_Toc41051014"/>
      <w:bookmarkStart w:id="340" w:name="_Toc41046014"/>
      <w:bookmarkStart w:id="341" w:name="_Toc41053472"/>
      <w:bookmarkStart w:id="342" w:name="_Toc44592643"/>
      <w:bookmarkStart w:id="343" w:name="_Toc44596155"/>
      <w:bookmarkStart w:id="344" w:name="_Toc44604550"/>
      <w:bookmarkStart w:id="345" w:name="_Toc54169699"/>
      <w:bookmarkStart w:id="346" w:name="_Toc56089988"/>
      <w:r>
        <w:t>2.6</w:t>
      </w:r>
      <w:r w:rsidR="005021AA">
        <w:tab/>
      </w:r>
      <w:r w:rsidR="007368AC">
        <w:t>Analytical method for detection</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D386758" w14:textId="3B310B08" w:rsidR="007368AC" w:rsidRPr="007368AC" w:rsidRDefault="007368AC" w:rsidP="007368AC">
      <w:pPr>
        <w:rPr>
          <w:lang w:bidi="ar-SA"/>
        </w:rPr>
      </w:pPr>
      <w:r>
        <w:rPr>
          <w:lang w:bidi="ar-SA"/>
        </w:rPr>
        <w:t xml:space="preserve">Rapeseed protein isolate can be detected using common protein analytical methods such as </w:t>
      </w:r>
      <w:r w:rsidR="00FA1096">
        <w:rPr>
          <w:lang w:bidi="ar-SA"/>
        </w:rPr>
        <w:t xml:space="preserve">sodium dodecyl </w:t>
      </w:r>
      <w:r w:rsidR="00A718FA">
        <w:rPr>
          <w:lang w:bidi="ar-SA"/>
        </w:rPr>
        <w:t>sulph</w:t>
      </w:r>
      <w:r w:rsidR="00FA1096">
        <w:rPr>
          <w:lang w:bidi="ar-SA"/>
        </w:rPr>
        <w:t>ate</w:t>
      </w:r>
      <w:r w:rsidR="007C29DA">
        <w:rPr>
          <w:lang w:bidi="ar-SA"/>
        </w:rPr>
        <w:t>-</w:t>
      </w:r>
      <w:r w:rsidR="00FA1096">
        <w:rPr>
          <w:lang w:bidi="ar-SA"/>
        </w:rPr>
        <w:t xml:space="preserve">polyacrylamide gel </w:t>
      </w:r>
      <w:r w:rsidR="007C29DA">
        <w:rPr>
          <w:lang w:bidi="ar-SA"/>
        </w:rPr>
        <w:t xml:space="preserve">electrophoresis </w:t>
      </w:r>
      <w:r w:rsidR="00FA1096">
        <w:rPr>
          <w:lang w:bidi="ar-SA"/>
        </w:rPr>
        <w:t>(</w:t>
      </w:r>
      <w:r>
        <w:rPr>
          <w:lang w:bidi="ar-SA"/>
        </w:rPr>
        <w:t>SDS</w:t>
      </w:r>
      <w:r w:rsidR="00FA1096">
        <w:rPr>
          <w:lang w:bidi="ar-SA"/>
        </w:rPr>
        <w:t xml:space="preserve">-PAGE). </w:t>
      </w:r>
      <w:r>
        <w:rPr>
          <w:lang w:bidi="ar-SA"/>
        </w:rPr>
        <w:t>The applicant has described this process in their application and provided an example of an SDS</w:t>
      </w:r>
      <w:r w:rsidR="00BD72C1">
        <w:rPr>
          <w:lang w:bidi="ar-SA"/>
        </w:rPr>
        <w:t>-PAGE</w:t>
      </w:r>
      <w:r>
        <w:rPr>
          <w:lang w:bidi="ar-SA"/>
        </w:rPr>
        <w:t xml:space="preserve"> gel for a typical rapeseed protein isolate batch.</w:t>
      </w:r>
    </w:p>
    <w:p w14:paraId="21393AAF" w14:textId="22E96590" w:rsidR="00F30B39" w:rsidRDefault="00B13F54" w:rsidP="00E41BD5">
      <w:pPr>
        <w:pStyle w:val="Heading2"/>
      </w:pPr>
      <w:bookmarkStart w:id="347" w:name="_Toc38549488"/>
      <w:bookmarkStart w:id="348" w:name="_Toc38634146"/>
      <w:bookmarkStart w:id="349" w:name="_Toc39571019"/>
      <w:bookmarkStart w:id="350" w:name="_Toc39579274"/>
      <w:bookmarkStart w:id="351" w:name="_Toc39579337"/>
      <w:bookmarkStart w:id="352" w:name="_Toc39587095"/>
      <w:bookmarkStart w:id="353" w:name="_Toc39582487"/>
      <w:bookmarkStart w:id="354" w:name="_Toc40264902"/>
      <w:bookmarkStart w:id="355" w:name="_Toc40266378"/>
      <w:bookmarkStart w:id="356" w:name="_Toc40279710"/>
      <w:bookmarkStart w:id="357" w:name="_Toc40282012"/>
      <w:bookmarkStart w:id="358" w:name="_Toc40282174"/>
      <w:bookmarkStart w:id="359" w:name="_Toc40360504"/>
      <w:bookmarkStart w:id="360" w:name="_Toc40353547"/>
      <w:bookmarkStart w:id="361" w:name="_Toc40366894"/>
      <w:bookmarkStart w:id="362" w:name="_Toc40368226"/>
      <w:bookmarkStart w:id="363" w:name="_Toc40382833"/>
      <w:bookmarkStart w:id="364" w:name="_Toc40431033"/>
      <w:bookmarkStart w:id="365" w:name="_Toc40432971"/>
      <w:bookmarkStart w:id="366" w:name="_Toc40447656"/>
      <w:bookmarkStart w:id="367" w:name="_Toc40441185"/>
      <w:bookmarkStart w:id="368" w:name="_Toc40448521"/>
      <w:bookmarkStart w:id="369" w:name="_Toc40449948"/>
      <w:bookmarkStart w:id="370" w:name="_Toc40968293"/>
      <w:bookmarkStart w:id="371" w:name="_Toc41051015"/>
      <w:bookmarkStart w:id="372" w:name="_Toc41046015"/>
      <w:bookmarkStart w:id="373" w:name="_Toc41053473"/>
      <w:bookmarkStart w:id="374" w:name="_Toc44592644"/>
      <w:bookmarkStart w:id="375" w:name="_Toc44596156"/>
      <w:bookmarkStart w:id="376" w:name="_Toc44604551"/>
      <w:bookmarkStart w:id="377" w:name="_Toc54169700"/>
      <w:bookmarkStart w:id="378" w:name="_Toc56089989"/>
      <w:r>
        <w:t>2.7</w:t>
      </w:r>
      <w:r w:rsidR="005021AA">
        <w:tab/>
      </w:r>
      <w:r w:rsidR="00F30B39">
        <w:t>Product specification</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69EF932" w14:textId="1E349B1E" w:rsidR="003000B0" w:rsidRDefault="003000B0" w:rsidP="003000B0">
      <w:pPr>
        <w:rPr>
          <w:lang w:bidi="ar-SA"/>
        </w:rPr>
      </w:pPr>
      <w:r>
        <w:rPr>
          <w:lang w:bidi="ar-SA"/>
        </w:rPr>
        <w:t>There is not a</w:t>
      </w:r>
      <w:r w:rsidR="0042208E">
        <w:rPr>
          <w:lang w:bidi="ar-SA"/>
        </w:rPr>
        <w:t xml:space="preserve"> </w:t>
      </w:r>
      <w:r>
        <w:rPr>
          <w:lang w:bidi="ar-SA"/>
        </w:rPr>
        <w:t>prim</w:t>
      </w:r>
      <w:r w:rsidR="00263CF8">
        <w:rPr>
          <w:lang w:bidi="ar-SA"/>
        </w:rPr>
        <w:t xml:space="preserve">ary </w:t>
      </w:r>
      <w:r w:rsidR="00351AB4">
        <w:rPr>
          <w:lang w:bidi="ar-SA"/>
        </w:rPr>
        <w:t>or</w:t>
      </w:r>
      <w:r>
        <w:rPr>
          <w:lang w:bidi="ar-SA"/>
        </w:rPr>
        <w:t xml:space="preserve"> secondary source </w:t>
      </w:r>
      <w:r w:rsidR="00351AB4">
        <w:rPr>
          <w:lang w:bidi="ar-SA"/>
        </w:rPr>
        <w:t xml:space="preserve">for a specification </w:t>
      </w:r>
      <w:r>
        <w:rPr>
          <w:lang w:bidi="ar-SA"/>
        </w:rPr>
        <w:t>in section S3-3</w:t>
      </w:r>
      <w:r w:rsidR="00351AB4">
        <w:rPr>
          <w:lang w:bidi="ar-SA"/>
        </w:rPr>
        <w:t xml:space="preserve"> of the Code</w:t>
      </w:r>
      <w:r>
        <w:rPr>
          <w:lang w:bidi="ar-SA"/>
        </w:rPr>
        <w:t xml:space="preserve">. </w:t>
      </w:r>
      <w:r w:rsidR="00BF3D08">
        <w:rPr>
          <w:lang w:bidi="ar-SA"/>
        </w:rPr>
        <w:t>As rapeseed protein isolate is a novel food</w:t>
      </w:r>
      <w:r w:rsidR="00A3790D">
        <w:rPr>
          <w:lang w:bidi="ar-SA"/>
        </w:rPr>
        <w:t>,</w:t>
      </w:r>
      <w:r w:rsidR="00BF3D08">
        <w:rPr>
          <w:lang w:bidi="ar-SA"/>
        </w:rPr>
        <w:t xml:space="preserve"> </w:t>
      </w:r>
      <w:r w:rsidR="005542D0">
        <w:rPr>
          <w:lang w:bidi="ar-SA"/>
        </w:rPr>
        <w:t>a product specification needs to be developed. T</w:t>
      </w:r>
      <w:r w:rsidR="007E7948">
        <w:rPr>
          <w:lang w:bidi="ar-SA"/>
        </w:rPr>
        <w:t xml:space="preserve">here is a Codex </w:t>
      </w:r>
      <w:r w:rsidR="00833DF0">
        <w:rPr>
          <w:lang w:bidi="ar-SA"/>
        </w:rPr>
        <w:t>G</w:t>
      </w:r>
      <w:r w:rsidR="001E337F">
        <w:rPr>
          <w:lang w:bidi="ar-SA"/>
        </w:rPr>
        <w:t xml:space="preserve">eneral </w:t>
      </w:r>
      <w:r w:rsidR="00833DF0">
        <w:rPr>
          <w:lang w:bidi="ar-SA"/>
        </w:rPr>
        <w:t>S</w:t>
      </w:r>
      <w:r>
        <w:rPr>
          <w:lang w:bidi="ar-SA"/>
        </w:rPr>
        <w:t xml:space="preserve">tandard </w:t>
      </w:r>
      <w:r w:rsidR="007E7948">
        <w:rPr>
          <w:lang w:bidi="ar-SA"/>
        </w:rPr>
        <w:t xml:space="preserve">174-1989 </w:t>
      </w:r>
      <w:r w:rsidR="005C6CF0">
        <w:rPr>
          <w:lang w:bidi="ar-SA"/>
        </w:rPr>
        <w:t>(Codex S</w:t>
      </w:r>
      <w:r w:rsidR="00AB4A11">
        <w:rPr>
          <w:lang w:bidi="ar-SA"/>
        </w:rPr>
        <w:t xml:space="preserve">tandard) </w:t>
      </w:r>
      <w:r w:rsidR="007E7948">
        <w:rPr>
          <w:lang w:bidi="ar-SA"/>
        </w:rPr>
        <w:t>for vegetable protein products</w:t>
      </w:r>
      <w:r>
        <w:rPr>
          <w:lang w:bidi="ar-SA"/>
        </w:rPr>
        <w:t xml:space="preserve"> </w:t>
      </w:r>
      <w:r w:rsidR="005542D0">
        <w:rPr>
          <w:lang w:bidi="ar-SA"/>
        </w:rPr>
        <w:t xml:space="preserve">which is summarised </w:t>
      </w:r>
      <w:r w:rsidR="0020685E">
        <w:rPr>
          <w:lang w:bidi="ar-SA"/>
        </w:rPr>
        <w:t xml:space="preserve">in Table </w:t>
      </w:r>
      <w:r w:rsidR="00563668">
        <w:rPr>
          <w:lang w:bidi="ar-SA"/>
        </w:rPr>
        <w:t>2.</w:t>
      </w:r>
      <w:r w:rsidR="009142E2">
        <w:rPr>
          <w:lang w:bidi="ar-SA"/>
        </w:rPr>
        <w:t>4</w:t>
      </w:r>
      <w:r w:rsidR="0020685E">
        <w:rPr>
          <w:lang w:bidi="ar-SA"/>
        </w:rPr>
        <w:t xml:space="preserve">. The </w:t>
      </w:r>
      <w:r w:rsidR="005542D0">
        <w:rPr>
          <w:lang w:bidi="ar-SA"/>
        </w:rPr>
        <w:t>applicant</w:t>
      </w:r>
      <w:r w:rsidR="0020685E">
        <w:rPr>
          <w:lang w:bidi="ar-SA"/>
        </w:rPr>
        <w:t>’</w:t>
      </w:r>
      <w:r w:rsidR="005542D0">
        <w:rPr>
          <w:lang w:bidi="ar-SA"/>
        </w:rPr>
        <w:t xml:space="preserve">s proposed product specification </w:t>
      </w:r>
      <w:r w:rsidR="0020685E">
        <w:rPr>
          <w:lang w:bidi="ar-SA"/>
        </w:rPr>
        <w:t xml:space="preserve">for rapeseed protein isolate </w:t>
      </w:r>
      <w:r w:rsidR="005542D0">
        <w:rPr>
          <w:lang w:bidi="ar-SA"/>
        </w:rPr>
        <w:t xml:space="preserve">is consistent with </w:t>
      </w:r>
      <w:r w:rsidR="0020685E">
        <w:rPr>
          <w:lang w:bidi="ar-SA"/>
        </w:rPr>
        <w:t>the relevant parameters in this Codex standard</w:t>
      </w:r>
      <w:r w:rsidR="000A5957">
        <w:rPr>
          <w:lang w:bidi="ar-SA"/>
        </w:rPr>
        <w:t xml:space="preserve">. It is important to note </w:t>
      </w:r>
      <w:r w:rsidR="00E803F3">
        <w:rPr>
          <w:lang w:bidi="ar-SA"/>
        </w:rPr>
        <w:t>the Codex Standard covers</w:t>
      </w:r>
      <w:r w:rsidR="0030004B">
        <w:rPr>
          <w:lang w:bidi="ar-SA"/>
        </w:rPr>
        <w:t xml:space="preserve"> </w:t>
      </w:r>
      <w:r w:rsidR="00D439BF">
        <w:rPr>
          <w:lang w:bidi="ar-SA"/>
        </w:rPr>
        <w:t xml:space="preserve">more broadly </w:t>
      </w:r>
      <w:r w:rsidR="0030004B">
        <w:rPr>
          <w:lang w:bidi="ar-SA"/>
        </w:rPr>
        <w:t xml:space="preserve">vegetable protein products </w:t>
      </w:r>
      <w:r w:rsidR="00E803F3">
        <w:rPr>
          <w:lang w:bidi="ar-SA"/>
        </w:rPr>
        <w:t xml:space="preserve">and is not specific to rapeseed protein isolate. This standard was established </w:t>
      </w:r>
      <w:r w:rsidR="0030004B">
        <w:rPr>
          <w:lang w:bidi="ar-SA"/>
        </w:rPr>
        <w:t>in 1989</w:t>
      </w:r>
      <w:r w:rsidR="005E7F39">
        <w:rPr>
          <w:lang w:bidi="ar-SA"/>
        </w:rPr>
        <w:t>,</w:t>
      </w:r>
      <w:r w:rsidR="0030004B">
        <w:rPr>
          <w:lang w:bidi="ar-SA"/>
        </w:rPr>
        <w:t xml:space="preserve"> </w:t>
      </w:r>
      <w:r w:rsidR="00C56140">
        <w:rPr>
          <w:lang w:bidi="ar-SA"/>
        </w:rPr>
        <w:t>therefore</w:t>
      </w:r>
      <w:r w:rsidR="0030004B">
        <w:rPr>
          <w:lang w:bidi="ar-SA"/>
        </w:rPr>
        <w:t xml:space="preserve"> the </w:t>
      </w:r>
      <w:r w:rsidR="00375169">
        <w:rPr>
          <w:lang w:bidi="ar-SA"/>
        </w:rPr>
        <w:t>composition</w:t>
      </w:r>
      <w:r w:rsidR="0030004B">
        <w:rPr>
          <w:lang w:bidi="ar-SA"/>
        </w:rPr>
        <w:t xml:space="preserve"> for more recent standards </w:t>
      </w:r>
      <w:r w:rsidR="005D70E0">
        <w:rPr>
          <w:lang w:bidi="ar-SA"/>
        </w:rPr>
        <w:t>also needs</w:t>
      </w:r>
      <w:r w:rsidR="00E803F3">
        <w:rPr>
          <w:lang w:bidi="ar-SA"/>
        </w:rPr>
        <w:t xml:space="preserve"> to </w:t>
      </w:r>
      <w:r w:rsidR="005D70E0">
        <w:rPr>
          <w:lang w:bidi="ar-SA"/>
        </w:rPr>
        <w:t>be considered</w:t>
      </w:r>
      <w:r w:rsidR="00E803F3">
        <w:rPr>
          <w:lang w:bidi="ar-SA"/>
        </w:rPr>
        <w:t xml:space="preserve"> in light of the </w:t>
      </w:r>
      <w:r w:rsidR="00FD2CD1" w:rsidRPr="007308A9">
        <w:rPr>
          <w:lang w:bidi="ar-SA"/>
        </w:rPr>
        <w:t xml:space="preserve">modern cultivars of </w:t>
      </w:r>
      <w:r w:rsidR="00FD2CD1" w:rsidRPr="007308A9">
        <w:rPr>
          <w:i/>
          <w:lang w:bidi="ar-SA"/>
        </w:rPr>
        <w:t xml:space="preserve">Brassica </w:t>
      </w:r>
      <w:r w:rsidR="00FD2CD1" w:rsidRPr="007308A9">
        <w:rPr>
          <w:lang w:bidi="ar-SA"/>
        </w:rPr>
        <w:t xml:space="preserve">species </w:t>
      </w:r>
      <w:r w:rsidR="00E803F3" w:rsidRPr="007308A9">
        <w:rPr>
          <w:lang w:bidi="ar-SA"/>
        </w:rPr>
        <w:t xml:space="preserve">low </w:t>
      </w:r>
      <w:r w:rsidR="00FD2CD1" w:rsidRPr="007308A9">
        <w:rPr>
          <w:lang w:bidi="ar-SA"/>
        </w:rPr>
        <w:t xml:space="preserve">in </w:t>
      </w:r>
      <w:r w:rsidR="00E803F3" w:rsidRPr="007308A9">
        <w:rPr>
          <w:lang w:bidi="ar-SA"/>
        </w:rPr>
        <w:t>erucic acid and glucosinolates</w:t>
      </w:r>
      <w:r w:rsidR="00FD2CD1" w:rsidRPr="007308A9">
        <w:rPr>
          <w:lang w:bidi="ar-SA"/>
        </w:rPr>
        <w:t xml:space="preserve"> that</w:t>
      </w:r>
      <w:r w:rsidR="00E803F3" w:rsidRPr="007308A9">
        <w:rPr>
          <w:lang w:bidi="ar-SA"/>
        </w:rPr>
        <w:t xml:space="preserve"> rapeseed protein isolate </w:t>
      </w:r>
      <w:r w:rsidR="00D439BF" w:rsidRPr="007308A9">
        <w:rPr>
          <w:lang w:bidi="ar-SA"/>
        </w:rPr>
        <w:t>can be</w:t>
      </w:r>
      <w:r w:rsidR="00E803F3" w:rsidRPr="007308A9">
        <w:rPr>
          <w:lang w:bidi="ar-SA"/>
        </w:rPr>
        <w:t xml:space="preserve"> obtained </w:t>
      </w:r>
      <w:r w:rsidR="00E86383" w:rsidRPr="007308A9">
        <w:rPr>
          <w:lang w:bidi="ar-SA"/>
        </w:rPr>
        <w:t>from,</w:t>
      </w:r>
      <w:r w:rsidR="00E86383">
        <w:rPr>
          <w:lang w:bidi="ar-SA"/>
        </w:rPr>
        <w:t xml:space="preserve"> </w:t>
      </w:r>
      <w:r w:rsidR="00E803F3">
        <w:rPr>
          <w:lang w:bidi="ar-SA"/>
        </w:rPr>
        <w:t>together with</w:t>
      </w:r>
      <w:r w:rsidR="00E50C3D">
        <w:rPr>
          <w:lang w:bidi="ar-SA"/>
        </w:rPr>
        <w:t xml:space="preserve"> </w:t>
      </w:r>
      <w:r w:rsidR="005D70E0">
        <w:rPr>
          <w:lang w:bidi="ar-SA"/>
        </w:rPr>
        <w:t xml:space="preserve">advances </w:t>
      </w:r>
      <w:r w:rsidR="00E803F3">
        <w:rPr>
          <w:lang w:bidi="ar-SA"/>
        </w:rPr>
        <w:t xml:space="preserve">in </w:t>
      </w:r>
      <w:r w:rsidR="005D70E0">
        <w:rPr>
          <w:lang w:bidi="ar-SA"/>
        </w:rPr>
        <w:t>manufacturing processes</w:t>
      </w:r>
      <w:r w:rsidR="00E803F3">
        <w:rPr>
          <w:lang w:bidi="ar-SA"/>
        </w:rPr>
        <w:t>.</w:t>
      </w:r>
    </w:p>
    <w:p w14:paraId="07F1626D" w14:textId="4A886AD9" w:rsidR="00016AA0" w:rsidRDefault="00016AA0" w:rsidP="003000B0">
      <w:pPr>
        <w:rPr>
          <w:lang w:bidi="ar-SA"/>
        </w:rPr>
      </w:pPr>
    </w:p>
    <w:p w14:paraId="1B33BF6D" w14:textId="4C62ACD9" w:rsidR="005C6CF0" w:rsidRDefault="005C6CF0" w:rsidP="00A915C7">
      <w:pPr>
        <w:pStyle w:val="FSTableTitle"/>
        <w:keepNext/>
        <w:keepLines/>
        <w:rPr>
          <w:b w:val="0"/>
          <w:i/>
          <w:lang w:bidi="ar-SA"/>
        </w:rPr>
      </w:pPr>
      <w:r w:rsidRPr="00B902E4">
        <w:rPr>
          <w:i/>
          <w:lang w:bidi="ar-SA"/>
        </w:rPr>
        <w:t xml:space="preserve">Table </w:t>
      </w:r>
      <w:r w:rsidR="00B33F79" w:rsidRPr="00B902E4">
        <w:rPr>
          <w:i/>
          <w:lang w:bidi="ar-SA"/>
        </w:rPr>
        <w:t>2.</w:t>
      </w:r>
      <w:r w:rsidR="009142E2" w:rsidRPr="00B902E4">
        <w:rPr>
          <w:i/>
          <w:lang w:bidi="ar-SA"/>
        </w:rPr>
        <w:t>4</w:t>
      </w:r>
      <w:r w:rsidR="00B902E4">
        <w:rPr>
          <w:i/>
          <w:lang w:bidi="ar-SA"/>
        </w:rPr>
        <w:tab/>
      </w:r>
      <w:r w:rsidR="00375169" w:rsidRPr="00095550">
        <w:rPr>
          <w:b w:val="0"/>
          <w:i/>
          <w:lang w:bidi="ar-SA"/>
        </w:rPr>
        <w:t>Composition for</w:t>
      </w:r>
      <w:r w:rsidR="00375169">
        <w:rPr>
          <w:i/>
          <w:lang w:bidi="ar-SA"/>
        </w:rPr>
        <w:t xml:space="preserve"> </w:t>
      </w:r>
      <w:r w:rsidR="00375169">
        <w:rPr>
          <w:b w:val="0"/>
          <w:i/>
          <w:lang w:bidi="ar-SA"/>
        </w:rPr>
        <w:t>r</w:t>
      </w:r>
      <w:r w:rsidRPr="00B902E4">
        <w:rPr>
          <w:b w:val="0"/>
          <w:i/>
          <w:lang w:bidi="ar-SA"/>
        </w:rPr>
        <w:t xml:space="preserve">apeseed protein </w:t>
      </w:r>
      <w:r w:rsidR="00CD702A" w:rsidRPr="00B902E4">
        <w:rPr>
          <w:b w:val="0"/>
          <w:i/>
          <w:lang w:bidi="ar-SA"/>
        </w:rPr>
        <w:t xml:space="preserve">isolate </w:t>
      </w:r>
      <w:r w:rsidRPr="00B902E4">
        <w:rPr>
          <w:b w:val="0"/>
          <w:i/>
          <w:lang w:bidi="ar-SA"/>
        </w:rPr>
        <w:t xml:space="preserve">and </w:t>
      </w:r>
      <w:r w:rsidR="00375169">
        <w:rPr>
          <w:b w:val="0"/>
          <w:i/>
          <w:lang w:bidi="ar-SA"/>
        </w:rPr>
        <w:t xml:space="preserve">a </w:t>
      </w:r>
      <w:r w:rsidRPr="00B902E4">
        <w:rPr>
          <w:b w:val="0"/>
          <w:i/>
          <w:lang w:bidi="ar-SA"/>
        </w:rPr>
        <w:t xml:space="preserve">comparison with Codex </w:t>
      </w:r>
      <w:r w:rsidR="00833DF0">
        <w:rPr>
          <w:b w:val="0"/>
          <w:i/>
          <w:lang w:bidi="ar-SA"/>
        </w:rPr>
        <w:t>G</w:t>
      </w:r>
      <w:r w:rsidRPr="00B902E4">
        <w:rPr>
          <w:b w:val="0"/>
          <w:i/>
          <w:lang w:bidi="ar-SA"/>
        </w:rPr>
        <w:t xml:space="preserve">eneral </w:t>
      </w:r>
      <w:r w:rsidR="00833DF0">
        <w:rPr>
          <w:b w:val="0"/>
          <w:i/>
          <w:lang w:bidi="ar-SA"/>
        </w:rPr>
        <w:t>S</w:t>
      </w:r>
      <w:r w:rsidRPr="00B902E4">
        <w:rPr>
          <w:b w:val="0"/>
          <w:i/>
          <w:lang w:bidi="ar-SA"/>
        </w:rPr>
        <w:t>tandard 174-1989 for vegetable protein products</w:t>
      </w:r>
    </w:p>
    <w:p w14:paraId="4DB7E9D8" w14:textId="77777777" w:rsidR="00B902E4" w:rsidRPr="00B902E4" w:rsidRDefault="00B902E4" w:rsidP="00B902E4">
      <w:pPr>
        <w:rPr>
          <w:lang w:bidi="ar-SA"/>
        </w:rPr>
      </w:pPr>
    </w:p>
    <w:tbl>
      <w:tblPr>
        <w:tblStyle w:val="TableGrid"/>
        <w:tblW w:w="0" w:type="auto"/>
        <w:tblLook w:val="04A0" w:firstRow="1" w:lastRow="0" w:firstColumn="1" w:lastColumn="0" w:noHBand="0" w:noVBand="1"/>
        <w:tblCaption w:val="Rapeseed protein isolate and comparison with Codex general standard 174-1989 for vegetable protein products"/>
        <w:tblDescription w:val="Table 2.4 includes 3 columns, the first for parameters, the second is for the product specification for rapeseed protein isolate and the third column is for the Codex standard. It show the product specification is consistent with the Codex standard."/>
      </w:tblPr>
      <w:tblGrid>
        <w:gridCol w:w="3020"/>
        <w:gridCol w:w="3020"/>
        <w:gridCol w:w="3020"/>
      </w:tblGrid>
      <w:tr w:rsidR="002E5845" w14:paraId="0799D7FF" w14:textId="77777777" w:rsidTr="002E5845">
        <w:tc>
          <w:tcPr>
            <w:tcW w:w="3020" w:type="dxa"/>
          </w:tcPr>
          <w:p w14:paraId="5AE42EBB" w14:textId="3F8BF036" w:rsidR="002E5845" w:rsidRDefault="00375169" w:rsidP="00A915C7">
            <w:pPr>
              <w:pStyle w:val="FSTableHeading"/>
              <w:keepNext/>
              <w:keepLines/>
              <w:jc w:val="left"/>
              <w:rPr>
                <w:lang w:bidi="ar-SA"/>
              </w:rPr>
            </w:pPr>
            <w:r>
              <w:rPr>
                <w:lang w:bidi="ar-SA"/>
              </w:rPr>
              <w:t>Composition</w:t>
            </w:r>
          </w:p>
        </w:tc>
        <w:tc>
          <w:tcPr>
            <w:tcW w:w="3020" w:type="dxa"/>
          </w:tcPr>
          <w:p w14:paraId="7EE19552" w14:textId="0CE7CC08" w:rsidR="002E5845" w:rsidRDefault="00375169" w:rsidP="00A915C7">
            <w:pPr>
              <w:pStyle w:val="FSTableHeading"/>
              <w:keepNext/>
              <w:keepLines/>
              <w:jc w:val="left"/>
              <w:rPr>
                <w:lang w:bidi="ar-SA"/>
              </w:rPr>
            </w:pPr>
            <w:r>
              <w:rPr>
                <w:lang w:bidi="ar-SA"/>
              </w:rPr>
              <w:t>CanolaPRO</w:t>
            </w:r>
            <w:r w:rsidR="002E5845">
              <w:rPr>
                <w:lang w:bidi="ar-SA"/>
              </w:rPr>
              <w:t xml:space="preserve"> specification for rapeseed protein</w:t>
            </w:r>
            <w:r w:rsidR="00BF3D08">
              <w:rPr>
                <w:lang w:bidi="ar-SA"/>
              </w:rPr>
              <w:t xml:space="preserve"> isolate</w:t>
            </w:r>
            <w:r w:rsidR="002E5845">
              <w:rPr>
                <w:lang w:bidi="ar-SA"/>
              </w:rPr>
              <w:t xml:space="preserve"> (%)</w:t>
            </w:r>
          </w:p>
        </w:tc>
        <w:tc>
          <w:tcPr>
            <w:tcW w:w="3020" w:type="dxa"/>
          </w:tcPr>
          <w:p w14:paraId="2F2A5F61" w14:textId="2EA7B18F" w:rsidR="002E5845" w:rsidRDefault="002E5845" w:rsidP="00A915C7">
            <w:pPr>
              <w:pStyle w:val="FSTableHeading"/>
              <w:keepNext/>
              <w:keepLines/>
              <w:jc w:val="left"/>
              <w:rPr>
                <w:lang w:bidi="ar-SA"/>
              </w:rPr>
            </w:pPr>
            <w:r>
              <w:rPr>
                <w:lang w:bidi="ar-SA"/>
              </w:rPr>
              <w:t>Codex Standard</w:t>
            </w:r>
          </w:p>
        </w:tc>
      </w:tr>
      <w:tr w:rsidR="002E5845" w14:paraId="0EED07A8" w14:textId="77777777" w:rsidTr="002E5845">
        <w:tc>
          <w:tcPr>
            <w:tcW w:w="3020" w:type="dxa"/>
          </w:tcPr>
          <w:p w14:paraId="33FFF740" w14:textId="033C33F6" w:rsidR="002E5845" w:rsidRDefault="002E5845" w:rsidP="00A915C7">
            <w:pPr>
              <w:keepNext/>
              <w:keepLines/>
              <w:rPr>
                <w:lang w:bidi="ar-SA"/>
              </w:rPr>
            </w:pPr>
            <w:r>
              <w:rPr>
                <w:lang w:bidi="ar-SA"/>
              </w:rPr>
              <w:t>Moisture</w:t>
            </w:r>
          </w:p>
        </w:tc>
        <w:tc>
          <w:tcPr>
            <w:tcW w:w="3020" w:type="dxa"/>
          </w:tcPr>
          <w:p w14:paraId="7DBD3321" w14:textId="5DB19A22" w:rsidR="002E5845" w:rsidRDefault="002E5845" w:rsidP="00A915C7">
            <w:pPr>
              <w:pStyle w:val="FSTableText"/>
              <w:keepNext/>
              <w:keepLines/>
              <w:jc w:val="center"/>
              <w:rPr>
                <w:lang w:bidi="ar-SA"/>
              </w:rPr>
            </w:pPr>
            <w:r>
              <w:rPr>
                <w:lang w:bidi="ar-SA"/>
              </w:rPr>
              <w:t>≤7</w:t>
            </w:r>
          </w:p>
        </w:tc>
        <w:tc>
          <w:tcPr>
            <w:tcW w:w="3020" w:type="dxa"/>
          </w:tcPr>
          <w:p w14:paraId="5E5F73DF" w14:textId="324733E4" w:rsidR="002E5845" w:rsidRDefault="002E5845" w:rsidP="00A915C7">
            <w:pPr>
              <w:pStyle w:val="FSTableText"/>
              <w:keepNext/>
              <w:keepLines/>
              <w:rPr>
                <w:lang w:bidi="ar-SA"/>
              </w:rPr>
            </w:pPr>
            <w:r>
              <w:rPr>
                <w:lang w:bidi="ar-SA"/>
              </w:rPr>
              <w:t>Low to ensure microbiological stability</w:t>
            </w:r>
          </w:p>
        </w:tc>
      </w:tr>
      <w:tr w:rsidR="002E5845" w14:paraId="14B09503" w14:textId="77777777" w:rsidTr="002E5845">
        <w:tc>
          <w:tcPr>
            <w:tcW w:w="3020" w:type="dxa"/>
          </w:tcPr>
          <w:p w14:paraId="364B831C" w14:textId="1B3A4B32" w:rsidR="002E5845" w:rsidRDefault="002E5845" w:rsidP="00A915C7">
            <w:pPr>
              <w:keepNext/>
              <w:keepLines/>
              <w:rPr>
                <w:lang w:bidi="ar-SA"/>
              </w:rPr>
            </w:pPr>
            <w:r>
              <w:rPr>
                <w:lang w:bidi="ar-SA"/>
              </w:rPr>
              <w:t xml:space="preserve">Crude protein </w:t>
            </w:r>
          </w:p>
        </w:tc>
        <w:tc>
          <w:tcPr>
            <w:tcW w:w="3020" w:type="dxa"/>
          </w:tcPr>
          <w:p w14:paraId="09F1A32A" w14:textId="31F8A14B" w:rsidR="002E5845" w:rsidRDefault="002E5845" w:rsidP="00A915C7">
            <w:pPr>
              <w:pStyle w:val="FSTableText"/>
              <w:keepNext/>
              <w:keepLines/>
              <w:jc w:val="center"/>
              <w:rPr>
                <w:lang w:bidi="ar-SA"/>
              </w:rPr>
            </w:pPr>
            <w:r>
              <w:rPr>
                <w:lang w:bidi="ar-SA"/>
              </w:rPr>
              <w:t>≥90</w:t>
            </w:r>
          </w:p>
        </w:tc>
        <w:tc>
          <w:tcPr>
            <w:tcW w:w="3020" w:type="dxa"/>
          </w:tcPr>
          <w:p w14:paraId="160D3B82" w14:textId="1F26367B" w:rsidR="002E5845" w:rsidRDefault="002E5845" w:rsidP="00A915C7">
            <w:pPr>
              <w:pStyle w:val="FSTableText"/>
              <w:keepNext/>
              <w:keepLines/>
              <w:rPr>
                <w:lang w:bidi="ar-SA"/>
              </w:rPr>
            </w:pPr>
            <w:r>
              <w:rPr>
                <w:lang w:bidi="ar-SA"/>
              </w:rPr>
              <w:t>≥40%</w:t>
            </w:r>
          </w:p>
        </w:tc>
      </w:tr>
      <w:tr w:rsidR="002E5845" w14:paraId="0396E3DA" w14:textId="77777777" w:rsidTr="002E5845">
        <w:tc>
          <w:tcPr>
            <w:tcW w:w="3020" w:type="dxa"/>
          </w:tcPr>
          <w:p w14:paraId="55516310" w14:textId="0E023072" w:rsidR="002E5845" w:rsidRDefault="002E5845" w:rsidP="00A915C7">
            <w:pPr>
              <w:keepNext/>
              <w:keepLines/>
              <w:rPr>
                <w:lang w:bidi="ar-SA"/>
              </w:rPr>
            </w:pPr>
            <w:r>
              <w:rPr>
                <w:lang w:bidi="ar-SA"/>
              </w:rPr>
              <w:t>Ash</w:t>
            </w:r>
          </w:p>
        </w:tc>
        <w:tc>
          <w:tcPr>
            <w:tcW w:w="3020" w:type="dxa"/>
          </w:tcPr>
          <w:p w14:paraId="2E5247E3" w14:textId="0172FBF2" w:rsidR="002E5845" w:rsidRDefault="00016AA0" w:rsidP="00A915C7">
            <w:pPr>
              <w:pStyle w:val="FSTableText"/>
              <w:keepNext/>
              <w:keepLines/>
              <w:jc w:val="center"/>
              <w:rPr>
                <w:lang w:bidi="ar-SA"/>
              </w:rPr>
            </w:pPr>
            <w:r>
              <w:rPr>
                <w:lang w:bidi="ar-SA"/>
              </w:rPr>
              <w:t>≤4</w:t>
            </w:r>
          </w:p>
        </w:tc>
        <w:tc>
          <w:tcPr>
            <w:tcW w:w="3020" w:type="dxa"/>
          </w:tcPr>
          <w:p w14:paraId="259C9899" w14:textId="48D4E3B0" w:rsidR="002E5845" w:rsidRDefault="002E5845" w:rsidP="00A915C7">
            <w:pPr>
              <w:pStyle w:val="FSTableText"/>
              <w:keepNext/>
              <w:keepLines/>
              <w:rPr>
                <w:lang w:bidi="ar-SA"/>
              </w:rPr>
            </w:pPr>
            <w:r>
              <w:rPr>
                <w:lang w:bidi="ar-SA"/>
              </w:rPr>
              <w:t>&lt;10%</w:t>
            </w:r>
          </w:p>
        </w:tc>
      </w:tr>
      <w:tr w:rsidR="002E5845" w14:paraId="0BA9B215" w14:textId="77777777" w:rsidTr="002E5845">
        <w:tc>
          <w:tcPr>
            <w:tcW w:w="3020" w:type="dxa"/>
          </w:tcPr>
          <w:p w14:paraId="4EAFD37F" w14:textId="500E54F9" w:rsidR="002E5845" w:rsidRDefault="002E5845" w:rsidP="00A915C7">
            <w:pPr>
              <w:keepNext/>
              <w:keepLines/>
              <w:rPr>
                <w:lang w:bidi="ar-SA"/>
              </w:rPr>
            </w:pPr>
            <w:r>
              <w:rPr>
                <w:lang w:bidi="ar-SA"/>
              </w:rPr>
              <w:t>Fat</w:t>
            </w:r>
          </w:p>
        </w:tc>
        <w:tc>
          <w:tcPr>
            <w:tcW w:w="3020" w:type="dxa"/>
          </w:tcPr>
          <w:p w14:paraId="4A519CE8" w14:textId="3338347A" w:rsidR="002E5845" w:rsidRDefault="00016AA0" w:rsidP="00A915C7">
            <w:pPr>
              <w:pStyle w:val="FSTableText"/>
              <w:keepNext/>
              <w:keepLines/>
              <w:jc w:val="center"/>
              <w:rPr>
                <w:lang w:bidi="ar-SA"/>
              </w:rPr>
            </w:pPr>
            <w:r>
              <w:rPr>
                <w:lang w:bidi="ar-SA"/>
              </w:rPr>
              <w:t>≤2</w:t>
            </w:r>
          </w:p>
        </w:tc>
        <w:tc>
          <w:tcPr>
            <w:tcW w:w="3020" w:type="dxa"/>
          </w:tcPr>
          <w:p w14:paraId="37FD4E18" w14:textId="6DC3FC91" w:rsidR="002E5845" w:rsidRDefault="002E5845" w:rsidP="00A915C7">
            <w:pPr>
              <w:pStyle w:val="FSTableText"/>
              <w:keepNext/>
              <w:keepLines/>
              <w:rPr>
                <w:lang w:bidi="ar-SA"/>
              </w:rPr>
            </w:pPr>
            <w:r>
              <w:rPr>
                <w:lang w:bidi="ar-SA"/>
              </w:rPr>
              <w:t>Consistent with levels of good manufacturing practice</w:t>
            </w:r>
          </w:p>
        </w:tc>
      </w:tr>
    </w:tbl>
    <w:p w14:paraId="49F9617B" w14:textId="084319BF" w:rsidR="002E5845" w:rsidRDefault="002E5845" w:rsidP="002E5845">
      <w:pPr>
        <w:rPr>
          <w:lang w:bidi="ar-SA"/>
        </w:rPr>
      </w:pPr>
    </w:p>
    <w:p w14:paraId="03E46534" w14:textId="5E57EE9A" w:rsidR="00CD4F1E" w:rsidRDefault="00375169" w:rsidP="00E50C3D">
      <w:pPr>
        <w:rPr>
          <w:lang w:bidi="ar-SA"/>
        </w:rPr>
      </w:pPr>
      <w:r>
        <w:rPr>
          <w:lang w:bidi="ar-SA"/>
        </w:rPr>
        <w:t>The composition</w:t>
      </w:r>
      <w:r w:rsidR="005542D0">
        <w:rPr>
          <w:lang w:bidi="ar-SA"/>
        </w:rPr>
        <w:t xml:space="preserve"> </w:t>
      </w:r>
      <w:r>
        <w:rPr>
          <w:lang w:bidi="ar-SA"/>
        </w:rPr>
        <w:t xml:space="preserve">requirements for CanolaPro and similar rapeseed protein isolates </w:t>
      </w:r>
      <w:r w:rsidR="00355A80">
        <w:rPr>
          <w:lang w:bidi="ar-SA"/>
        </w:rPr>
        <w:t>is</w:t>
      </w:r>
      <w:r>
        <w:rPr>
          <w:lang w:bidi="ar-SA"/>
        </w:rPr>
        <w:t xml:space="preserve"> included in</w:t>
      </w:r>
      <w:r w:rsidR="005542D0">
        <w:rPr>
          <w:lang w:bidi="ar-SA"/>
        </w:rPr>
        <w:t xml:space="preserve"> Table </w:t>
      </w:r>
      <w:r w:rsidR="00B33F79">
        <w:rPr>
          <w:lang w:bidi="ar-SA"/>
        </w:rPr>
        <w:t>2.</w:t>
      </w:r>
      <w:r w:rsidR="009142E2">
        <w:rPr>
          <w:lang w:bidi="ar-SA"/>
        </w:rPr>
        <w:t>5</w:t>
      </w:r>
      <w:r w:rsidR="005542D0">
        <w:rPr>
          <w:lang w:bidi="ar-SA"/>
        </w:rPr>
        <w:t xml:space="preserve">. The application also contains analytical results for </w:t>
      </w:r>
      <w:r w:rsidR="00F06938">
        <w:rPr>
          <w:lang w:bidi="ar-SA"/>
        </w:rPr>
        <w:t xml:space="preserve">older (2015) and more recently manufactured (2018) </w:t>
      </w:r>
      <w:r w:rsidR="005542D0">
        <w:rPr>
          <w:lang w:bidi="ar-SA"/>
        </w:rPr>
        <w:t xml:space="preserve">batches of the </w:t>
      </w:r>
      <w:r w:rsidR="00F06938">
        <w:rPr>
          <w:lang w:bidi="ar-SA"/>
        </w:rPr>
        <w:t xml:space="preserve">applicant’s </w:t>
      </w:r>
      <w:r w:rsidR="005542D0">
        <w:rPr>
          <w:lang w:bidi="ar-SA"/>
        </w:rPr>
        <w:t xml:space="preserve">rapeseed protein </w:t>
      </w:r>
      <w:r w:rsidR="002E7863">
        <w:rPr>
          <w:lang w:bidi="ar-SA"/>
        </w:rPr>
        <w:t>isolate</w:t>
      </w:r>
      <w:r w:rsidR="00A3790D">
        <w:rPr>
          <w:lang w:bidi="ar-SA"/>
        </w:rPr>
        <w:t>. All</w:t>
      </w:r>
      <w:r w:rsidR="005542D0">
        <w:rPr>
          <w:lang w:bidi="ar-SA"/>
        </w:rPr>
        <w:t xml:space="preserve"> </w:t>
      </w:r>
      <w:r w:rsidR="002E7863">
        <w:rPr>
          <w:lang w:bidi="ar-SA"/>
        </w:rPr>
        <w:t>are</w:t>
      </w:r>
      <w:r w:rsidR="005542D0">
        <w:rPr>
          <w:lang w:bidi="ar-SA"/>
        </w:rPr>
        <w:t xml:space="preserve"> within limits</w:t>
      </w:r>
      <w:r w:rsidR="00064C39">
        <w:rPr>
          <w:lang w:bidi="ar-SA"/>
        </w:rPr>
        <w:t xml:space="preserve"> </w:t>
      </w:r>
      <w:r w:rsidR="00355A80">
        <w:rPr>
          <w:lang w:bidi="ar-SA"/>
        </w:rPr>
        <w:t xml:space="preserve">included </w:t>
      </w:r>
      <w:r w:rsidR="00EB2142">
        <w:rPr>
          <w:lang w:bidi="ar-SA"/>
        </w:rPr>
        <w:t>in</w:t>
      </w:r>
      <w:r w:rsidR="005542D0">
        <w:rPr>
          <w:lang w:bidi="ar-SA"/>
        </w:rPr>
        <w:t xml:space="preserve"> </w:t>
      </w:r>
      <w:r w:rsidR="00351AB4">
        <w:rPr>
          <w:lang w:bidi="ar-SA"/>
        </w:rPr>
        <w:t>Table 2.5</w:t>
      </w:r>
      <w:r w:rsidR="00113A85">
        <w:rPr>
          <w:lang w:bidi="ar-SA"/>
        </w:rPr>
        <w:t>.</w:t>
      </w:r>
    </w:p>
    <w:p w14:paraId="0F671042" w14:textId="77777777" w:rsidR="00553C9A" w:rsidRPr="00553C9A" w:rsidRDefault="00553C9A" w:rsidP="00375169">
      <w:pPr>
        <w:rPr>
          <w:lang w:bidi="ar-SA"/>
        </w:rPr>
      </w:pPr>
    </w:p>
    <w:p w14:paraId="7DB12579" w14:textId="4502D0ED" w:rsidR="005435D0" w:rsidRDefault="005435D0" w:rsidP="006B288D">
      <w:pPr>
        <w:pStyle w:val="FSTableTitle"/>
        <w:keepNext/>
        <w:keepLines/>
        <w:rPr>
          <w:b w:val="0"/>
          <w:i/>
          <w:lang w:bidi="ar-SA"/>
        </w:rPr>
      </w:pPr>
      <w:r w:rsidRPr="00B902E4">
        <w:rPr>
          <w:i/>
          <w:lang w:bidi="ar-SA"/>
        </w:rPr>
        <w:t xml:space="preserve">Table </w:t>
      </w:r>
      <w:r w:rsidR="00B33F79" w:rsidRPr="00B902E4">
        <w:rPr>
          <w:i/>
          <w:lang w:bidi="ar-SA"/>
        </w:rPr>
        <w:t>2.</w:t>
      </w:r>
      <w:r w:rsidR="0024496B">
        <w:rPr>
          <w:i/>
          <w:lang w:bidi="ar-SA"/>
        </w:rPr>
        <w:t>5</w:t>
      </w:r>
      <w:r w:rsidR="00B902E4">
        <w:rPr>
          <w:i/>
          <w:lang w:bidi="ar-SA"/>
        </w:rPr>
        <w:tab/>
      </w:r>
      <w:r w:rsidRPr="00B902E4">
        <w:rPr>
          <w:i/>
          <w:lang w:bidi="ar-SA"/>
        </w:rPr>
        <w:t xml:space="preserve"> </w:t>
      </w:r>
      <w:r w:rsidR="005D70E0">
        <w:rPr>
          <w:b w:val="0"/>
          <w:i/>
          <w:lang w:bidi="ar-SA"/>
        </w:rPr>
        <w:t>A comparison of c</w:t>
      </w:r>
      <w:r w:rsidR="00375169">
        <w:rPr>
          <w:b w:val="0"/>
          <w:i/>
          <w:lang w:bidi="ar-SA"/>
        </w:rPr>
        <w:t xml:space="preserve">omposition </w:t>
      </w:r>
      <w:r w:rsidR="00E50C3D">
        <w:rPr>
          <w:b w:val="0"/>
          <w:i/>
          <w:lang w:bidi="ar-SA"/>
        </w:rPr>
        <w:t xml:space="preserve">requirements </w:t>
      </w:r>
      <w:r w:rsidR="00375169">
        <w:rPr>
          <w:b w:val="0"/>
          <w:i/>
          <w:lang w:bidi="ar-SA"/>
        </w:rPr>
        <w:t xml:space="preserve">for CanolaPRO and similar </w:t>
      </w:r>
      <w:r w:rsidRPr="00B902E4">
        <w:rPr>
          <w:b w:val="0"/>
          <w:i/>
          <w:lang w:bidi="ar-SA"/>
        </w:rPr>
        <w:t>rapeseed protein</w:t>
      </w:r>
      <w:r w:rsidR="00427B0A" w:rsidRPr="00B902E4">
        <w:rPr>
          <w:b w:val="0"/>
          <w:i/>
          <w:lang w:bidi="ar-SA"/>
        </w:rPr>
        <w:t xml:space="preserve"> isolate</w:t>
      </w:r>
      <w:r w:rsidR="00375169">
        <w:rPr>
          <w:b w:val="0"/>
          <w:i/>
          <w:lang w:bidi="ar-SA"/>
        </w:rPr>
        <w:t>s</w:t>
      </w:r>
    </w:p>
    <w:p w14:paraId="39F3EC76" w14:textId="0EC7694B" w:rsidR="00B902E4" w:rsidRDefault="00B902E4" w:rsidP="006B288D">
      <w:pPr>
        <w:keepNext/>
        <w:keepLines/>
        <w:rPr>
          <w:lang w:bidi="ar-SA"/>
        </w:rPr>
      </w:pPr>
    </w:p>
    <w:tbl>
      <w:tblPr>
        <w:tblStyle w:val="TableGrid"/>
        <w:tblW w:w="0" w:type="auto"/>
        <w:tblLook w:val="04A0" w:firstRow="1" w:lastRow="0" w:firstColumn="1" w:lastColumn="0" w:noHBand="0" w:noVBand="1"/>
        <w:tblCaption w:val="Table 2.5 A comparison of composition specification fro CanolaPRO and similar rapeseed protein isolates"/>
        <w:tblDescription w:val="Table 2.5. includes 5 columns. The first lists the composition   -so protein, carbohydrate fat, ash and moisture. Column 1 looks at IsoLexx, as permitted in EU 2014/424/EU. Column 2,3 and 4 are for US FDA GRAS notifications - 327 for puratein, supratein - now puratein HS and C, 386 for IsoLexx and VitaLexx, then 683 for CanolaPRO - the applicats product."/>
      </w:tblPr>
      <w:tblGrid>
        <w:gridCol w:w="1545"/>
        <w:gridCol w:w="1545"/>
        <w:gridCol w:w="1089"/>
        <w:gridCol w:w="1097"/>
        <w:gridCol w:w="1018"/>
        <w:gridCol w:w="1118"/>
        <w:gridCol w:w="1648"/>
      </w:tblGrid>
      <w:tr w:rsidR="00375169" w:rsidRPr="000A567D" w14:paraId="0D7753B0" w14:textId="77777777" w:rsidTr="0023016A">
        <w:trPr>
          <w:trHeight w:val="575"/>
        </w:trPr>
        <w:tc>
          <w:tcPr>
            <w:tcW w:w="1838" w:type="dxa"/>
            <w:vMerge w:val="restart"/>
          </w:tcPr>
          <w:p w14:paraId="473494DF" w14:textId="1232082A" w:rsidR="00375169" w:rsidRPr="000A567D" w:rsidRDefault="00375169" w:rsidP="00224B4A">
            <w:pPr>
              <w:pStyle w:val="FSTableHeading"/>
            </w:pPr>
            <w:r w:rsidRPr="000A567D">
              <w:t>Composition Requirement</w:t>
            </w:r>
            <w:r w:rsidR="00224B4A">
              <w:t xml:space="preserve"> (%)</w:t>
            </w:r>
          </w:p>
        </w:tc>
        <w:tc>
          <w:tcPr>
            <w:tcW w:w="1985" w:type="dxa"/>
            <w:vMerge w:val="restart"/>
          </w:tcPr>
          <w:p w14:paraId="47400A46" w14:textId="77777777" w:rsidR="00375169" w:rsidRPr="000A567D" w:rsidRDefault="00375169" w:rsidP="00224B4A">
            <w:pPr>
              <w:pStyle w:val="FSTableHeading"/>
            </w:pPr>
            <w:r w:rsidRPr="000A567D">
              <w:t>EU 2014/424/EU</w:t>
            </w:r>
          </w:p>
          <w:p w14:paraId="7ED70268" w14:textId="77777777" w:rsidR="00375169" w:rsidRPr="00224B4A" w:rsidRDefault="00375169" w:rsidP="00224B4A">
            <w:pPr>
              <w:pStyle w:val="FSTableHeading"/>
              <w:rPr>
                <w:b w:val="0"/>
              </w:rPr>
            </w:pPr>
            <w:r w:rsidRPr="000A567D">
              <w:t xml:space="preserve"> </w:t>
            </w:r>
            <w:r w:rsidRPr="00224B4A">
              <w:rPr>
                <w:b w:val="0"/>
              </w:rPr>
              <w:t>(EFSA looked at IsoLexx, CanolaPRO assessed as eq</w:t>
            </w:r>
            <w:r w:rsidRPr="00B704D3">
              <w:rPr>
                <w:b w:val="0"/>
              </w:rPr>
              <w:t>uivalent in 2017)</w:t>
            </w:r>
          </w:p>
        </w:tc>
        <w:tc>
          <w:tcPr>
            <w:tcW w:w="2268" w:type="dxa"/>
            <w:gridSpan w:val="2"/>
          </w:tcPr>
          <w:p w14:paraId="19844DF7" w14:textId="77777777" w:rsidR="00375169" w:rsidRPr="000A567D" w:rsidRDefault="00375169" w:rsidP="00224B4A">
            <w:pPr>
              <w:pStyle w:val="FSTableHeading"/>
            </w:pPr>
            <w:r w:rsidRPr="000A567D">
              <w:t>US FDA GRN327 (2010)</w:t>
            </w:r>
          </w:p>
          <w:p w14:paraId="03AFABB7" w14:textId="77777777" w:rsidR="00375169" w:rsidRPr="000A567D" w:rsidRDefault="00375169" w:rsidP="00224B4A">
            <w:pPr>
              <w:pStyle w:val="FSTableHeading"/>
            </w:pPr>
          </w:p>
        </w:tc>
        <w:tc>
          <w:tcPr>
            <w:tcW w:w="2409" w:type="dxa"/>
            <w:gridSpan w:val="2"/>
            <w:shd w:val="clear" w:color="auto" w:fill="auto"/>
          </w:tcPr>
          <w:p w14:paraId="055B3AB0" w14:textId="77777777" w:rsidR="00375169" w:rsidRPr="000A567D" w:rsidRDefault="00375169" w:rsidP="00224B4A">
            <w:pPr>
              <w:pStyle w:val="FSTableHeading"/>
            </w:pPr>
            <w:r w:rsidRPr="000A567D">
              <w:t>US FDA GRN 386 (2011)</w:t>
            </w:r>
          </w:p>
          <w:p w14:paraId="17E7360D" w14:textId="77777777" w:rsidR="00375169" w:rsidRPr="000A567D" w:rsidRDefault="00375169" w:rsidP="00224B4A">
            <w:pPr>
              <w:pStyle w:val="FSTableHeading"/>
            </w:pPr>
          </w:p>
        </w:tc>
        <w:tc>
          <w:tcPr>
            <w:tcW w:w="2552" w:type="dxa"/>
            <w:vMerge w:val="restart"/>
          </w:tcPr>
          <w:p w14:paraId="1C114879" w14:textId="1DB3A061" w:rsidR="00375169" w:rsidRPr="00224B4A" w:rsidRDefault="00E86383" w:rsidP="00224B4A">
            <w:pPr>
              <w:pStyle w:val="FSTableHeading"/>
              <w:rPr>
                <w:b w:val="0"/>
              </w:rPr>
            </w:pPr>
            <w:r>
              <w:t xml:space="preserve">US FDA GRN 683  (2017), </w:t>
            </w:r>
            <w:r w:rsidR="00375169" w:rsidRPr="00224B4A">
              <w:rPr>
                <w:b w:val="0"/>
              </w:rPr>
              <w:t xml:space="preserve"> </w:t>
            </w:r>
            <w:r>
              <w:rPr>
                <w:b w:val="0"/>
              </w:rPr>
              <w:t>also</w:t>
            </w:r>
            <w:r w:rsidR="00375169" w:rsidRPr="00224B4A">
              <w:rPr>
                <w:b w:val="0"/>
              </w:rPr>
              <w:t xml:space="preserve"> for</w:t>
            </w:r>
          </w:p>
          <w:p w14:paraId="5E1602D3" w14:textId="77777777" w:rsidR="00375169" w:rsidRPr="000A567D" w:rsidRDefault="00375169" w:rsidP="00224B4A">
            <w:pPr>
              <w:pStyle w:val="FSTableHeading"/>
            </w:pPr>
            <w:r w:rsidRPr="00224B4A">
              <w:rPr>
                <w:b w:val="0"/>
              </w:rPr>
              <w:t>CanolaPRO</w:t>
            </w:r>
          </w:p>
        </w:tc>
      </w:tr>
      <w:tr w:rsidR="00375169" w:rsidRPr="000A567D" w14:paraId="2B68EB96" w14:textId="77777777" w:rsidTr="0023016A">
        <w:trPr>
          <w:trHeight w:val="575"/>
        </w:trPr>
        <w:tc>
          <w:tcPr>
            <w:tcW w:w="1838" w:type="dxa"/>
            <w:vMerge/>
          </w:tcPr>
          <w:p w14:paraId="35D24428" w14:textId="77777777" w:rsidR="00375169" w:rsidRPr="000A567D" w:rsidRDefault="00375169" w:rsidP="0023016A">
            <w:pPr>
              <w:rPr>
                <w:b/>
              </w:rPr>
            </w:pPr>
          </w:p>
        </w:tc>
        <w:tc>
          <w:tcPr>
            <w:tcW w:w="1985" w:type="dxa"/>
            <w:vMerge/>
          </w:tcPr>
          <w:p w14:paraId="5E8D755E" w14:textId="77777777" w:rsidR="00375169" w:rsidRPr="000A567D" w:rsidRDefault="00375169" w:rsidP="0023016A">
            <w:pPr>
              <w:rPr>
                <w:b/>
                <w:sz w:val="20"/>
                <w:szCs w:val="20"/>
              </w:rPr>
            </w:pPr>
          </w:p>
        </w:tc>
        <w:tc>
          <w:tcPr>
            <w:tcW w:w="1134" w:type="dxa"/>
          </w:tcPr>
          <w:p w14:paraId="73DC71E2" w14:textId="77777777" w:rsidR="00375169" w:rsidRPr="000A567D" w:rsidRDefault="00375169" w:rsidP="0023016A">
            <w:pPr>
              <w:rPr>
                <w:sz w:val="20"/>
                <w:szCs w:val="20"/>
              </w:rPr>
            </w:pPr>
            <w:r w:rsidRPr="000A567D">
              <w:rPr>
                <w:sz w:val="20"/>
                <w:szCs w:val="20"/>
              </w:rPr>
              <w:t>Puratein</w:t>
            </w:r>
          </w:p>
          <w:p w14:paraId="6B09EA07" w14:textId="77777777" w:rsidR="00375169" w:rsidRPr="000A567D" w:rsidRDefault="00375169" w:rsidP="0023016A">
            <w:pPr>
              <w:rPr>
                <w:b/>
                <w:sz w:val="20"/>
                <w:szCs w:val="20"/>
              </w:rPr>
            </w:pPr>
            <w:r w:rsidRPr="000A567D">
              <w:rPr>
                <w:sz w:val="20"/>
                <w:szCs w:val="20"/>
              </w:rPr>
              <w:t>Supratein</w:t>
            </w:r>
          </w:p>
        </w:tc>
        <w:tc>
          <w:tcPr>
            <w:tcW w:w="1134" w:type="dxa"/>
          </w:tcPr>
          <w:p w14:paraId="7664035A" w14:textId="77777777" w:rsidR="00375169" w:rsidRPr="000A567D" w:rsidRDefault="00375169" w:rsidP="0023016A">
            <w:pPr>
              <w:rPr>
                <w:b/>
              </w:rPr>
            </w:pPr>
            <w:r w:rsidRPr="000A567D">
              <w:rPr>
                <w:sz w:val="20"/>
                <w:szCs w:val="20"/>
              </w:rPr>
              <w:t>Renamed as Puratein HS and C</w:t>
            </w:r>
          </w:p>
        </w:tc>
        <w:tc>
          <w:tcPr>
            <w:tcW w:w="1134" w:type="dxa"/>
            <w:shd w:val="clear" w:color="auto" w:fill="auto"/>
          </w:tcPr>
          <w:p w14:paraId="75E19ACA" w14:textId="77777777" w:rsidR="00375169" w:rsidRPr="000A567D" w:rsidRDefault="00375169" w:rsidP="0023016A">
            <w:pPr>
              <w:rPr>
                <w:b/>
              </w:rPr>
            </w:pPr>
            <w:r w:rsidRPr="000A567D">
              <w:t>IsoLexx</w:t>
            </w:r>
          </w:p>
        </w:tc>
        <w:tc>
          <w:tcPr>
            <w:tcW w:w="1275" w:type="dxa"/>
            <w:shd w:val="clear" w:color="auto" w:fill="auto"/>
          </w:tcPr>
          <w:p w14:paraId="6AFC2467" w14:textId="77777777" w:rsidR="00375169" w:rsidRPr="000A567D" w:rsidRDefault="00375169" w:rsidP="0023016A">
            <w:pPr>
              <w:rPr>
                <w:b/>
              </w:rPr>
            </w:pPr>
            <w:r w:rsidRPr="000A567D">
              <w:t>VitaLexx</w:t>
            </w:r>
          </w:p>
        </w:tc>
        <w:tc>
          <w:tcPr>
            <w:tcW w:w="2552" w:type="dxa"/>
            <w:vMerge/>
          </w:tcPr>
          <w:p w14:paraId="660D6858" w14:textId="77777777" w:rsidR="00375169" w:rsidRPr="000A567D" w:rsidRDefault="00375169" w:rsidP="0023016A">
            <w:pPr>
              <w:rPr>
                <w:b/>
              </w:rPr>
            </w:pPr>
          </w:p>
        </w:tc>
      </w:tr>
      <w:tr w:rsidR="00375169" w:rsidRPr="000A567D" w14:paraId="3479794E" w14:textId="77777777" w:rsidTr="0023016A">
        <w:tc>
          <w:tcPr>
            <w:tcW w:w="1838" w:type="dxa"/>
          </w:tcPr>
          <w:p w14:paraId="73229761" w14:textId="77777777" w:rsidR="00375169" w:rsidRPr="000A567D" w:rsidRDefault="00375169" w:rsidP="00224B4A">
            <w:pPr>
              <w:pStyle w:val="FSTableText"/>
            </w:pPr>
            <w:r w:rsidRPr="000A567D">
              <w:t>Protein</w:t>
            </w:r>
          </w:p>
        </w:tc>
        <w:tc>
          <w:tcPr>
            <w:tcW w:w="1985" w:type="dxa"/>
          </w:tcPr>
          <w:p w14:paraId="111665CB" w14:textId="3446884E" w:rsidR="00375169" w:rsidRPr="000A567D" w:rsidRDefault="00375169" w:rsidP="00224B4A">
            <w:pPr>
              <w:pStyle w:val="FSTableText"/>
            </w:pPr>
            <w:r w:rsidRPr="000A567D">
              <w:rPr>
                <w:lang w:bidi="ar-SA"/>
              </w:rPr>
              <w:t xml:space="preserve">≥ 90 </w:t>
            </w:r>
          </w:p>
        </w:tc>
        <w:tc>
          <w:tcPr>
            <w:tcW w:w="2268" w:type="dxa"/>
            <w:gridSpan w:val="2"/>
          </w:tcPr>
          <w:p w14:paraId="234BD279" w14:textId="77777777" w:rsidR="00375169" w:rsidRPr="000A567D" w:rsidRDefault="00375169" w:rsidP="00224B4A">
            <w:pPr>
              <w:pStyle w:val="FSTableText"/>
            </w:pPr>
            <w:r w:rsidRPr="000A567D">
              <w:rPr>
                <w:lang w:bidi="ar-SA"/>
              </w:rPr>
              <w:t>≥ 90</w:t>
            </w:r>
          </w:p>
        </w:tc>
        <w:tc>
          <w:tcPr>
            <w:tcW w:w="1134" w:type="dxa"/>
            <w:shd w:val="clear" w:color="auto" w:fill="auto"/>
          </w:tcPr>
          <w:p w14:paraId="2ED62880" w14:textId="32AFA388" w:rsidR="00375169" w:rsidRPr="000A567D" w:rsidRDefault="00375169" w:rsidP="00224B4A">
            <w:pPr>
              <w:pStyle w:val="FSTableText"/>
            </w:pPr>
            <w:r w:rsidRPr="000A567D">
              <w:rPr>
                <w:lang w:bidi="ar-SA"/>
              </w:rPr>
              <w:t xml:space="preserve">≥ 90 </w:t>
            </w:r>
          </w:p>
        </w:tc>
        <w:tc>
          <w:tcPr>
            <w:tcW w:w="1275" w:type="dxa"/>
            <w:shd w:val="clear" w:color="auto" w:fill="auto"/>
          </w:tcPr>
          <w:p w14:paraId="68DC8758" w14:textId="77777777" w:rsidR="00375169" w:rsidRPr="000A567D" w:rsidRDefault="00375169" w:rsidP="00224B4A">
            <w:pPr>
              <w:pStyle w:val="FSTableText"/>
            </w:pPr>
            <w:r w:rsidRPr="000A567D">
              <w:rPr>
                <w:lang w:bidi="ar-SA"/>
              </w:rPr>
              <w:t xml:space="preserve">≥ </w:t>
            </w:r>
            <w:r>
              <w:t>80</w:t>
            </w:r>
          </w:p>
        </w:tc>
        <w:tc>
          <w:tcPr>
            <w:tcW w:w="2552" w:type="dxa"/>
          </w:tcPr>
          <w:p w14:paraId="6F413ACB" w14:textId="27D8A9FA" w:rsidR="00375169" w:rsidRPr="000A567D" w:rsidRDefault="00375169" w:rsidP="00224B4A">
            <w:pPr>
              <w:pStyle w:val="FSTableText"/>
              <w:rPr>
                <w:lang w:bidi="ar-SA"/>
              </w:rPr>
            </w:pPr>
            <w:r w:rsidRPr="000A567D">
              <w:rPr>
                <w:lang w:bidi="ar-SA"/>
              </w:rPr>
              <w:t>≥ 90</w:t>
            </w:r>
          </w:p>
        </w:tc>
      </w:tr>
      <w:tr w:rsidR="00375169" w:rsidRPr="000A567D" w14:paraId="578E5E43" w14:textId="77777777" w:rsidTr="0023016A">
        <w:tc>
          <w:tcPr>
            <w:tcW w:w="1838" w:type="dxa"/>
          </w:tcPr>
          <w:p w14:paraId="332F6D0B" w14:textId="77777777" w:rsidR="00375169" w:rsidRPr="000A567D" w:rsidRDefault="00375169" w:rsidP="00224B4A">
            <w:pPr>
              <w:pStyle w:val="FSTableText"/>
            </w:pPr>
            <w:r w:rsidRPr="000A567D">
              <w:t>Carbohydrate</w:t>
            </w:r>
          </w:p>
        </w:tc>
        <w:tc>
          <w:tcPr>
            <w:tcW w:w="1985" w:type="dxa"/>
          </w:tcPr>
          <w:p w14:paraId="3D771251" w14:textId="2F8010FD" w:rsidR="00375169" w:rsidRPr="000A567D" w:rsidRDefault="00375169" w:rsidP="00224B4A">
            <w:pPr>
              <w:pStyle w:val="FSTableText"/>
            </w:pPr>
            <w:r w:rsidRPr="000A567D">
              <w:rPr>
                <w:lang w:bidi="ar-SA"/>
              </w:rPr>
              <w:t xml:space="preserve">≤ 7 </w:t>
            </w:r>
          </w:p>
        </w:tc>
        <w:tc>
          <w:tcPr>
            <w:tcW w:w="2268" w:type="dxa"/>
            <w:gridSpan w:val="2"/>
          </w:tcPr>
          <w:p w14:paraId="1C0686AB" w14:textId="77777777" w:rsidR="00375169" w:rsidRPr="000A567D" w:rsidRDefault="00375169" w:rsidP="00224B4A">
            <w:pPr>
              <w:pStyle w:val="FSTableText"/>
            </w:pPr>
            <w:r>
              <w:t>-</w:t>
            </w:r>
          </w:p>
        </w:tc>
        <w:tc>
          <w:tcPr>
            <w:tcW w:w="1134" w:type="dxa"/>
            <w:shd w:val="clear" w:color="auto" w:fill="auto"/>
          </w:tcPr>
          <w:p w14:paraId="41690E69" w14:textId="77777777" w:rsidR="00375169" w:rsidRPr="000A567D" w:rsidRDefault="00375169" w:rsidP="00224B4A">
            <w:pPr>
              <w:pStyle w:val="FSTableText"/>
            </w:pPr>
            <w:r w:rsidRPr="000A567D">
              <w:rPr>
                <w:lang w:bidi="ar-SA"/>
              </w:rPr>
              <w:t>≤ 7</w:t>
            </w:r>
          </w:p>
        </w:tc>
        <w:tc>
          <w:tcPr>
            <w:tcW w:w="1275" w:type="dxa"/>
            <w:shd w:val="clear" w:color="auto" w:fill="auto"/>
          </w:tcPr>
          <w:p w14:paraId="765AA623" w14:textId="77777777" w:rsidR="00375169" w:rsidRPr="000A567D" w:rsidRDefault="00375169" w:rsidP="00224B4A">
            <w:pPr>
              <w:pStyle w:val="FSTableText"/>
            </w:pPr>
            <w:r w:rsidRPr="000A567D">
              <w:rPr>
                <w:lang w:bidi="ar-SA"/>
              </w:rPr>
              <w:t xml:space="preserve">≤ </w:t>
            </w:r>
            <w:r>
              <w:t>15</w:t>
            </w:r>
          </w:p>
        </w:tc>
        <w:tc>
          <w:tcPr>
            <w:tcW w:w="2552" w:type="dxa"/>
          </w:tcPr>
          <w:p w14:paraId="0EA47E4F" w14:textId="4087A084" w:rsidR="00375169" w:rsidRPr="000A567D" w:rsidRDefault="00375169" w:rsidP="00224B4A">
            <w:pPr>
              <w:pStyle w:val="FSTableText"/>
              <w:rPr>
                <w:lang w:bidi="ar-SA"/>
              </w:rPr>
            </w:pPr>
            <w:r w:rsidRPr="000A567D">
              <w:rPr>
                <w:lang w:bidi="ar-SA"/>
              </w:rPr>
              <w:t>≤ 7</w:t>
            </w:r>
          </w:p>
        </w:tc>
      </w:tr>
      <w:tr w:rsidR="00375169" w:rsidRPr="000A567D" w14:paraId="490EEAB7" w14:textId="77777777" w:rsidTr="0023016A">
        <w:tc>
          <w:tcPr>
            <w:tcW w:w="1838" w:type="dxa"/>
          </w:tcPr>
          <w:p w14:paraId="0BC307B6" w14:textId="77777777" w:rsidR="00375169" w:rsidRPr="000A567D" w:rsidRDefault="00375169" w:rsidP="00224B4A">
            <w:pPr>
              <w:pStyle w:val="FSTableText"/>
            </w:pPr>
            <w:r w:rsidRPr="000A567D">
              <w:t>Fat</w:t>
            </w:r>
          </w:p>
        </w:tc>
        <w:tc>
          <w:tcPr>
            <w:tcW w:w="1985" w:type="dxa"/>
          </w:tcPr>
          <w:p w14:paraId="540B7CA6" w14:textId="77777777" w:rsidR="00375169" w:rsidRPr="000A567D" w:rsidRDefault="00375169" w:rsidP="00224B4A">
            <w:pPr>
              <w:pStyle w:val="FSTableText"/>
            </w:pPr>
            <w:r w:rsidRPr="000A567D">
              <w:t>&lt;2</w:t>
            </w:r>
          </w:p>
        </w:tc>
        <w:tc>
          <w:tcPr>
            <w:tcW w:w="1134" w:type="dxa"/>
          </w:tcPr>
          <w:p w14:paraId="57B9DA99" w14:textId="77777777" w:rsidR="00375169" w:rsidRPr="000A567D" w:rsidRDefault="00375169" w:rsidP="00224B4A">
            <w:pPr>
              <w:pStyle w:val="FSTableText"/>
            </w:pPr>
            <w:r w:rsidRPr="000A567D">
              <w:t>&lt; 2</w:t>
            </w:r>
          </w:p>
        </w:tc>
        <w:tc>
          <w:tcPr>
            <w:tcW w:w="1134" w:type="dxa"/>
          </w:tcPr>
          <w:p w14:paraId="100407CF" w14:textId="4C771FA5" w:rsidR="00375169" w:rsidRPr="000A567D" w:rsidRDefault="00375169" w:rsidP="00224B4A">
            <w:pPr>
              <w:pStyle w:val="FSTableText"/>
            </w:pPr>
            <w:r w:rsidRPr="000A567D">
              <w:t>&lt;</w:t>
            </w:r>
            <w:r w:rsidR="00224B4A">
              <w:t xml:space="preserve"> 5</w:t>
            </w:r>
          </w:p>
        </w:tc>
        <w:tc>
          <w:tcPr>
            <w:tcW w:w="1134" w:type="dxa"/>
            <w:shd w:val="clear" w:color="auto" w:fill="auto"/>
          </w:tcPr>
          <w:p w14:paraId="05AC5D14" w14:textId="77777777" w:rsidR="00375169" w:rsidRPr="000A567D" w:rsidRDefault="00375169" w:rsidP="00224B4A">
            <w:pPr>
              <w:pStyle w:val="FSTableText"/>
            </w:pPr>
            <w:r w:rsidRPr="000A567D">
              <w:t>&lt; 2</w:t>
            </w:r>
          </w:p>
        </w:tc>
        <w:tc>
          <w:tcPr>
            <w:tcW w:w="1275" w:type="dxa"/>
            <w:shd w:val="clear" w:color="auto" w:fill="auto"/>
          </w:tcPr>
          <w:p w14:paraId="407B89AE" w14:textId="77777777" w:rsidR="00375169" w:rsidRPr="000A567D" w:rsidRDefault="00375169" w:rsidP="00224B4A">
            <w:pPr>
              <w:pStyle w:val="FSTableText"/>
            </w:pPr>
            <w:r>
              <w:t>&lt;2</w:t>
            </w:r>
          </w:p>
        </w:tc>
        <w:tc>
          <w:tcPr>
            <w:tcW w:w="2552" w:type="dxa"/>
          </w:tcPr>
          <w:p w14:paraId="5E5DA1A4" w14:textId="77777777" w:rsidR="00375169" w:rsidRPr="000A567D" w:rsidRDefault="00375169" w:rsidP="00224B4A">
            <w:pPr>
              <w:pStyle w:val="FSTableText"/>
            </w:pPr>
            <w:r w:rsidRPr="000A567D">
              <w:rPr>
                <w:lang w:bidi="ar-SA"/>
              </w:rPr>
              <w:t xml:space="preserve">≤ </w:t>
            </w:r>
            <w:r w:rsidRPr="000A567D">
              <w:t>2</w:t>
            </w:r>
          </w:p>
        </w:tc>
      </w:tr>
      <w:tr w:rsidR="00375169" w:rsidRPr="000A567D" w14:paraId="0177254F" w14:textId="77777777" w:rsidTr="0023016A">
        <w:tc>
          <w:tcPr>
            <w:tcW w:w="1838" w:type="dxa"/>
          </w:tcPr>
          <w:p w14:paraId="5C4F5C06" w14:textId="77777777" w:rsidR="00375169" w:rsidRPr="000A567D" w:rsidRDefault="00375169" w:rsidP="00224B4A">
            <w:pPr>
              <w:pStyle w:val="FSTableText"/>
            </w:pPr>
            <w:r w:rsidRPr="000A567D">
              <w:t>Ash</w:t>
            </w:r>
          </w:p>
        </w:tc>
        <w:tc>
          <w:tcPr>
            <w:tcW w:w="1985" w:type="dxa"/>
          </w:tcPr>
          <w:p w14:paraId="6B8A4172" w14:textId="77777777" w:rsidR="00375169" w:rsidRPr="000A567D" w:rsidRDefault="00375169" w:rsidP="00224B4A">
            <w:pPr>
              <w:pStyle w:val="FSTableText"/>
            </w:pPr>
            <w:r w:rsidRPr="000A567D">
              <w:rPr>
                <w:lang w:bidi="ar-SA"/>
              </w:rPr>
              <w:t xml:space="preserve">≤ </w:t>
            </w:r>
            <w:r w:rsidRPr="000A567D">
              <w:t>4</w:t>
            </w:r>
          </w:p>
        </w:tc>
        <w:tc>
          <w:tcPr>
            <w:tcW w:w="1134" w:type="dxa"/>
          </w:tcPr>
          <w:p w14:paraId="31FDA881" w14:textId="77777777" w:rsidR="00375169" w:rsidRPr="000A567D" w:rsidRDefault="00375169" w:rsidP="00224B4A">
            <w:pPr>
              <w:pStyle w:val="FSTableText"/>
            </w:pPr>
            <w:r w:rsidRPr="000A567D">
              <w:t>&lt; 6</w:t>
            </w:r>
          </w:p>
        </w:tc>
        <w:tc>
          <w:tcPr>
            <w:tcW w:w="1134" w:type="dxa"/>
          </w:tcPr>
          <w:p w14:paraId="6B361A87" w14:textId="205E9123" w:rsidR="00375169" w:rsidRPr="000A567D" w:rsidRDefault="00375169" w:rsidP="00224B4A">
            <w:pPr>
              <w:pStyle w:val="FSTableText"/>
            </w:pPr>
            <w:r w:rsidRPr="000A567D">
              <w:t>&lt;</w:t>
            </w:r>
            <w:r w:rsidR="00224B4A">
              <w:t xml:space="preserve"> 5</w:t>
            </w:r>
          </w:p>
        </w:tc>
        <w:tc>
          <w:tcPr>
            <w:tcW w:w="1134" w:type="dxa"/>
            <w:shd w:val="clear" w:color="auto" w:fill="auto"/>
          </w:tcPr>
          <w:p w14:paraId="15A499B1" w14:textId="77777777" w:rsidR="00375169" w:rsidRPr="000A567D" w:rsidRDefault="00375169" w:rsidP="00224B4A">
            <w:pPr>
              <w:pStyle w:val="FSTableText"/>
            </w:pPr>
            <w:r w:rsidRPr="000A567D">
              <w:t>&lt; 4</w:t>
            </w:r>
          </w:p>
        </w:tc>
        <w:tc>
          <w:tcPr>
            <w:tcW w:w="1275" w:type="dxa"/>
            <w:shd w:val="clear" w:color="auto" w:fill="auto"/>
          </w:tcPr>
          <w:p w14:paraId="66A8DD76" w14:textId="77777777" w:rsidR="00375169" w:rsidRPr="000A567D" w:rsidRDefault="00375169" w:rsidP="00224B4A">
            <w:pPr>
              <w:pStyle w:val="FSTableText"/>
            </w:pPr>
            <w:r w:rsidRPr="000A567D">
              <w:t>&lt; 7</w:t>
            </w:r>
          </w:p>
        </w:tc>
        <w:tc>
          <w:tcPr>
            <w:tcW w:w="2552" w:type="dxa"/>
          </w:tcPr>
          <w:p w14:paraId="7744E09D" w14:textId="77777777" w:rsidR="00375169" w:rsidRPr="000A567D" w:rsidRDefault="00375169" w:rsidP="00224B4A">
            <w:pPr>
              <w:pStyle w:val="FSTableText"/>
            </w:pPr>
            <w:r w:rsidRPr="000A567D">
              <w:rPr>
                <w:lang w:bidi="ar-SA"/>
              </w:rPr>
              <w:t xml:space="preserve">≤ </w:t>
            </w:r>
            <w:r w:rsidRPr="000A567D">
              <w:t>4</w:t>
            </w:r>
          </w:p>
          <w:p w14:paraId="2869E4B1" w14:textId="77777777" w:rsidR="00375169" w:rsidRPr="000A567D" w:rsidRDefault="00375169" w:rsidP="00224B4A">
            <w:pPr>
              <w:pStyle w:val="FSTableText"/>
            </w:pPr>
          </w:p>
        </w:tc>
      </w:tr>
      <w:tr w:rsidR="00224B4A" w14:paraId="7FCF890A" w14:textId="77777777" w:rsidTr="0023016A">
        <w:tc>
          <w:tcPr>
            <w:tcW w:w="1838" w:type="dxa"/>
          </w:tcPr>
          <w:p w14:paraId="52DEF45B" w14:textId="77777777" w:rsidR="00375169" w:rsidRPr="000A567D" w:rsidRDefault="00375169" w:rsidP="00224B4A">
            <w:pPr>
              <w:pStyle w:val="FSTableText"/>
            </w:pPr>
            <w:r w:rsidRPr="000A567D">
              <w:t>Moisture</w:t>
            </w:r>
          </w:p>
        </w:tc>
        <w:tc>
          <w:tcPr>
            <w:tcW w:w="1985" w:type="dxa"/>
          </w:tcPr>
          <w:p w14:paraId="4E512ACA" w14:textId="77777777" w:rsidR="00375169" w:rsidRPr="000A567D" w:rsidRDefault="00375169" w:rsidP="00224B4A">
            <w:pPr>
              <w:pStyle w:val="FSTableText"/>
            </w:pPr>
            <w:r w:rsidRPr="000A567D">
              <w:rPr>
                <w:lang w:bidi="ar-SA"/>
              </w:rPr>
              <w:t>≤ 7</w:t>
            </w:r>
          </w:p>
        </w:tc>
        <w:tc>
          <w:tcPr>
            <w:tcW w:w="2268" w:type="dxa"/>
            <w:gridSpan w:val="2"/>
          </w:tcPr>
          <w:p w14:paraId="1AE3639F" w14:textId="77777777" w:rsidR="00375169" w:rsidRPr="000A567D" w:rsidRDefault="00375169" w:rsidP="00224B4A">
            <w:pPr>
              <w:pStyle w:val="FSTableText"/>
            </w:pPr>
            <w:r w:rsidRPr="000A567D">
              <w:rPr>
                <w:lang w:bidi="ar-SA"/>
              </w:rPr>
              <w:t>≤ 7</w:t>
            </w:r>
          </w:p>
        </w:tc>
        <w:tc>
          <w:tcPr>
            <w:tcW w:w="1134" w:type="dxa"/>
            <w:shd w:val="clear" w:color="auto" w:fill="auto"/>
          </w:tcPr>
          <w:p w14:paraId="2071953E" w14:textId="77777777" w:rsidR="00375169" w:rsidRPr="000A567D" w:rsidRDefault="00375169" w:rsidP="00224B4A">
            <w:pPr>
              <w:pStyle w:val="FSTableText"/>
            </w:pPr>
            <w:r w:rsidRPr="000A567D">
              <w:t>&lt;7</w:t>
            </w:r>
          </w:p>
        </w:tc>
        <w:tc>
          <w:tcPr>
            <w:tcW w:w="1275" w:type="dxa"/>
            <w:shd w:val="clear" w:color="auto" w:fill="auto"/>
          </w:tcPr>
          <w:p w14:paraId="40773421" w14:textId="77777777" w:rsidR="00375169" w:rsidRPr="000A567D" w:rsidRDefault="00375169" w:rsidP="00224B4A">
            <w:pPr>
              <w:pStyle w:val="FSTableText"/>
            </w:pPr>
            <w:r>
              <w:t>&lt;9</w:t>
            </w:r>
          </w:p>
        </w:tc>
        <w:tc>
          <w:tcPr>
            <w:tcW w:w="2552" w:type="dxa"/>
          </w:tcPr>
          <w:p w14:paraId="3817B034" w14:textId="0B4CAF12" w:rsidR="00375169" w:rsidRDefault="00375169" w:rsidP="00224B4A">
            <w:pPr>
              <w:pStyle w:val="FSTableText"/>
            </w:pPr>
            <w:r w:rsidRPr="000A567D">
              <w:rPr>
                <w:lang w:bidi="ar-SA"/>
              </w:rPr>
              <w:t>≤ 7</w:t>
            </w:r>
          </w:p>
        </w:tc>
      </w:tr>
    </w:tbl>
    <w:p w14:paraId="57C92FC7" w14:textId="77777777" w:rsidR="00375169" w:rsidRDefault="00375169" w:rsidP="00375169"/>
    <w:p w14:paraId="72317533" w14:textId="0422A173" w:rsidR="00C36272" w:rsidRDefault="00B704D3" w:rsidP="00375169">
      <w:r>
        <w:t xml:space="preserve">The values for protein, carbohydrate and moisture content of at least 90% </w:t>
      </w:r>
      <w:r w:rsidR="00C36272">
        <w:t xml:space="preserve">and </w:t>
      </w:r>
      <w:r>
        <w:t xml:space="preserve">not more than 7% </w:t>
      </w:r>
      <w:r w:rsidR="00C36272">
        <w:t>respectively</w:t>
      </w:r>
      <w:r w:rsidR="001217DB">
        <w:t xml:space="preserve"> </w:t>
      </w:r>
      <w:r>
        <w:t>(</w:t>
      </w:r>
      <w:r w:rsidR="00C36272">
        <w:t xml:space="preserve">with the </w:t>
      </w:r>
      <w:r>
        <w:t xml:space="preserve">exception of VitaLexx which </w:t>
      </w:r>
      <w:r w:rsidR="00E86383">
        <w:t>to FSANZ’s understanding is not currently</w:t>
      </w:r>
      <w:r>
        <w:t xml:space="preserve"> produced </w:t>
      </w:r>
      <w:r w:rsidR="00FB18CF">
        <w:t xml:space="preserve">and </w:t>
      </w:r>
      <w:r w:rsidR="00E86383">
        <w:t>used in food</w:t>
      </w:r>
      <w:r>
        <w:t>) are consistent.</w:t>
      </w:r>
    </w:p>
    <w:p w14:paraId="14A467ED" w14:textId="77777777" w:rsidR="000E5FA9" w:rsidRDefault="000E5FA9" w:rsidP="00375169"/>
    <w:p w14:paraId="5592891E" w14:textId="51EEDB0E" w:rsidR="00C917C6" w:rsidRDefault="00C36272" w:rsidP="00375169">
      <w:r>
        <w:t xml:space="preserve">The values for fat range </w:t>
      </w:r>
      <w:r w:rsidR="00E86383">
        <w:t>from</w:t>
      </w:r>
      <w:r>
        <w:t xml:space="preserve"> not more than 2% to not more than 5%. The upper value is obtained </w:t>
      </w:r>
      <w:r w:rsidR="00FB18CF">
        <w:t>using</w:t>
      </w:r>
      <w:r>
        <w:t xml:space="preserve"> cold press processing and results in a higher oil content </w:t>
      </w:r>
      <w:r w:rsidR="0063680E">
        <w:t>hence</w:t>
      </w:r>
      <w:r>
        <w:t xml:space="preserve"> more fat in the final product</w:t>
      </w:r>
      <w:r w:rsidR="00A24B9C">
        <w:t xml:space="preserve"> (Cakaloglu et. al., 2018)</w:t>
      </w:r>
      <w:r>
        <w:t>. The values for ash range from not more than 4% to not more than 6% (</w:t>
      </w:r>
      <w:r w:rsidR="00E86383">
        <w:t xml:space="preserve">again </w:t>
      </w:r>
      <w:r>
        <w:t>with the exception o</w:t>
      </w:r>
      <w:r w:rsidR="000E5FA9">
        <w:t>f VitaLexx).</w:t>
      </w:r>
    </w:p>
    <w:p w14:paraId="16EAB9BD" w14:textId="77777777" w:rsidR="000E5FA9" w:rsidRDefault="000E5FA9" w:rsidP="00375169"/>
    <w:p w14:paraId="507AB75E" w14:textId="29ECB894" w:rsidR="00C36272" w:rsidRDefault="00C36272" w:rsidP="00375169">
      <w:r>
        <w:t xml:space="preserve">The variation in composition as shown in Table 2.5 </w:t>
      </w:r>
      <w:r w:rsidR="00355A80">
        <w:t>reflect</w:t>
      </w:r>
      <w:r>
        <w:t xml:space="preserve"> variation in raw materials – so </w:t>
      </w:r>
      <w:r w:rsidRPr="002C6B3A">
        <w:rPr>
          <w:i/>
        </w:rPr>
        <w:t xml:space="preserve">Brassica </w:t>
      </w:r>
      <w:r>
        <w:t>species, growing region and seasonality. Also variations and developme</w:t>
      </w:r>
      <w:r w:rsidR="000E5FA9">
        <w:t>nts in manufacturing processes.</w:t>
      </w:r>
    </w:p>
    <w:p w14:paraId="79598675" w14:textId="77777777" w:rsidR="000E5FA9" w:rsidRDefault="000E5FA9" w:rsidP="00375169"/>
    <w:p w14:paraId="026C4292" w14:textId="3D8EB5A3" w:rsidR="00355A80" w:rsidRPr="003A01FB" w:rsidRDefault="00355A80" w:rsidP="00355A80">
      <w:r>
        <w:t xml:space="preserve">The composition for rapeseed protein isolates included in Table 2.5 are consistent with the </w:t>
      </w:r>
      <w:r>
        <w:rPr>
          <w:lang w:bidi="ar-SA"/>
        </w:rPr>
        <w:t>Codex General Standard 174-1989 (Codex Standard) for vegetable protein products as shown in Table 2.4.</w:t>
      </w:r>
    </w:p>
    <w:p w14:paraId="31C78FAB" w14:textId="77777777" w:rsidR="00683CB3" w:rsidRDefault="00683CB3" w:rsidP="00375169"/>
    <w:p w14:paraId="71D9CD50" w14:textId="66E0E14C" w:rsidR="00470B95" w:rsidRDefault="00133F9F" w:rsidP="00470B95">
      <w:r>
        <w:t>Th</w:t>
      </w:r>
      <w:r w:rsidR="00207A22">
        <w:t>e microbiological specification</w:t>
      </w:r>
      <w:r>
        <w:t xml:space="preserve"> </w:t>
      </w:r>
      <w:r w:rsidR="00207A22">
        <w:t xml:space="preserve">provided by the applicant </w:t>
      </w:r>
      <w:r>
        <w:t xml:space="preserve">are included in Table 2.6. </w:t>
      </w:r>
      <w:r w:rsidR="00470B95">
        <w:t>The analytical results for batch’s as provided by the applicant are consistent with these limits.</w:t>
      </w:r>
    </w:p>
    <w:p w14:paraId="63D71AD2" w14:textId="4ADCFE6C" w:rsidR="00133F9F" w:rsidRDefault="003C01B6" w:rsidP="00470B95">
      <w:r>
        <w:t>These</w:t>
      </w:r>
      <w:r w:rsidR="00133F9F">
        <w:t xml:space="preserve"> are consistent with </w:t>
      </w:r>
      <w:r>
        <w:t xml:space="preserve">the </w:t>
      </w:r>
      <w:r w:rsidR="00133F9F">
        <w:t>EU</w:t>
      </w:r>
      <w:r>
        <w:t xml:space="preserve"> requirement</w:t>
      </w:r>
      <w:r w:rsidR="00470B95">
        <w:t xml:space="preserve"> and specifications</w:t>
      </w:r>
      <w:r w:rsidR="00133F9F">
        <w:t xml:space="preserve"> notified to US FDA</w:t>
      </w:r>
      <w:r w:rsidR="004439CE">
        <w:t xml:space="preserve">. </w:t>
      </w:r>
    </w:p>
    <w:p w14:paraId="03F5F499" w14:textId="77777777" w:rsidR="00133F9F" w:rsidRDefault="00133F9F" w:rsidP="00375169"/>
    <w:p w14:paraId="131F2CF4" w14:textId="35B00DB8" w:rsidR="00375169" w:rsidRDefault="00095550" w:rsidP="00F242E7">
      <w:pPr>
        <w:pStyle w:val="FSTableTitle"/>
      </w:pPr>
      <w:r w:rsidRPr="00095550">
        <w:rPr>
          <w:i/>
        </w:rPr>
        <w:t>Table 2.6</w:t>
      </w:r>
      <w:r>
        <w:t xml:space="preserve"> </w:t>
      </w:r>
      <w:r w:rsidRPr="00095550">
        <w:rPr>
          <w:b w:val="0"/>
          <w:i/>
        </w:rPr>
        <w:t>Microbiological specification</w:t>
      </w:r>
    </w:p>
    <w:p w14:paraId="3E0B25C2" w14:textId="77777777" w:rsidR="00F242E7" w:rsidRPr="00F242E7" w:rsidRDefault="00F242E7" w:rsidP="00F242E7"/>
    <w:tbl>
      <w:tblPr>
        <w:tblStyle w:val="TableGrid"/>
        <w:tblW w:w="9067" w:type="dxa"/>
        <w:tblLook w:val="04A0" w:firstRow="1" w:lastRow="0" w:firstColumn="1" w:lastColumn="0" w:noHBand="0" w:noVBand="1"/>
        <w:tblCaption w:val="Microbiological specification for rapeseed protein isolate"/>
        <w:tblDescription w:val="Table 2.6 includes 2 columns. The first column is for total plate count, E.coli, Salmonella spp., yeasts and moulds. The second column lists the limits for the parameters in column 1.  "/>
      </w:tblPr>
      <w:tblGrid>
        <w:gridCol w:w="3114"/>
        <w:gridCol w:w="5953"/>
      </w:tblGrid>
      <w:tr w:rsidR="00EC1AC8" w14:paraId="38CFC8BB" w14:textId="77777777" w:rsidTr="001B6ABF">
        <w:tc>
          <w:tcPr>
            <w:tcW w:w="3114" w:type="dxa"/>
          </w:tcPr>
          <w:p w14:paraId="4AA2DC51" w14:textId="1BC4C443" w:rsidR="00EC1AC8" w:rsidRDefault="00FD5F83" w:rsidP="006B288D">
            <w:pPr>
              <w:pStyle w:val="FSTableHeading"/>
              <w:keepNext/>
              <w:keepLines/>
              <w:jc w:val="left"/>
              <w:rPr>
                <w:lang w:bidi="ar-SA"/>
              </w:rPr>
            </w:pPr>
            <w:r>
              <w:rPr>
                <w:lang w:bidi="ar-SA"/>
              </w:rPr>
              <w:t>Microbiological specification</w:t>
            </w:r>
          </w:p>
        </w:tc>
        <w:tc>
          <w:tcPr>
            <w:tcW w:w="5953" w:type="dxa"/>
          </w:tcPr>
          <w:p w14:paraId="64EAEEBC" w14:textId="4E968B32" w:rsidR="00EC1AC8" w:rsidRDefault="00FD5F83" w:rsidP="006B288D">
            <w:pPr>
              <w:pStyle w:val="FSTableHeading"/>
              <w:keepNext/>
              <w:keepLines/>
              <w:jc w:val="left"/>
              <w:rPr>
                <w:lang w:bidi="ar-SA"/>
              </w:rPr>
            </w:pPr>
            <w:r>
              <w:rPr>
                <w:lang w:bidi="ar-SA"/>
              </w:rPr>
              <w:t>Limits</w:t>
            </w:r>
          </w:p>
        </w:tc>
      </w:tr>
      <w:tr w:rsidR="00EC1AC8" w14:paraId="2C59F11C" w14:textId="77777777" w:rsidTr="001B6ABF">
        <w:tc>
          <w:tcPr>
            <w:tcW w:w="3114" w:type="dxa"/>
          </w:tcPr>
          <w:p w14:paraId="7A4E958E" w14:textId="1A000DFD" w:rsidR="00EC1AC8" w:rsidRDefault="00EC1AC8" w:rsidP="006B288D">
            <w:pPr>
              <w:pStyle w:val="FSTableText"/>
              <w:keepNext/>
              <w:keepLines/>
              <w:rPr>
                <w:lang w:bidi="ar-SA"/>
              </w:rPr>
            </w:pPr>
            <w:r>
              <w:rPr>
                <w:lang w:bidi="ar-SA"/>
              </w:rPr>
              <w:t>Total plate count</w:t>
            </w:r>
          </w:p>
          <w:p w14:paraId="0F255424" w14:textId="36C17D5C" w:rsidR="00EC1AC8" w:rsidRDefault="00EC1AC8" w:rsidP="006B288D">
            <w:pPr>
              <w:pStyle w:val="FSTableText"/>
              <w:keepNext/>
              <w:keepLines/>
              <w:rPr>
                <w:i/>
                <w:lang w:bidi="ar-SA"/>
              </w:rPr>
            </w:pPr>
            <w:r w:rsidRPr="005A794D">
              <w:rPr>
                <w:i/>
                <w:lang w:bidi="ar-SA"/>
              </w:rPr>
              <w:t>E. coli</w:t>
            </w:r>
          </w:p>
          <w:p w14:paraId="37F2F569" w14:textId="0BBFBE11" w:rsidR="00EC1AC8" w:rsidRPr="005A794D" w:rsidRDefault="00EC1AC8" w:rsidP="006B288D">
            <w:pPr>
              <w:pStyle w:val="FSTableText"/>
              <w:keepNext/>
              <w:keepLines/>
              <w:rPr>
                <w:i/>
                <w:lang w:bidi="ar-SA"/>
              </w:rPr>
            </w:pPr>
            <w:r w:rsidRPr="005A794D">
              <w:rPr>
                <w:i/>
                <w:lang w:bidi="ar-SA"/>
              </w:rPr>
              <w:t>Salmonella</w:t>
            </w:r>
            <w:r>
              <w:rPr>
                <w:lang w:bidi="ar-SA"/>
              </w:rPr>
              <w:t xml:space="preserve"> spp.</w:t>
            </w:r>
          </w:p>
          <w:p w14:paraId="4EF6C463" w14:textId="38DB2CA4" w:rsidR="00EC1AC8" w:rsidRDefault="00EC1AC8" w:rsidP="006B288D">
            <w:pPr>
              <w:pStyle w:val="FSTableText"/>
              <w:keepNext/>
              <w:keepLines/>
              <w:rPr>
                <w:lang w:bidi="ar-SA"/>
              </w:rPr>
            </w:pPr>
            <w:r>
              <w:rPr>
                <w:lang w:bidi="ar-SA"/>
              </w:rPr>
              <w:t>Yeast and moulds</w:t>
            </w:r>
          </w:p>
          <w:p w14:paraId="7ACFAF4B" w14:textId="49048F35" w:rsidR="00EC1AC8" w:rsidRDefault="00EC1AC8" w:rsidP="006B288D">
            <w:pPr>
              <w:pStyle w:val="FSTableText"/>
              <w:keepNext/>
              <w:keepLines/>
              <w:rPr>
                <w:lang w:bidi="ar-SA"/>
              </w:rPr>
            </w:pPr>
          </w:p>
        </w:tc>
        <w:tc>
          <w:tcPr>
            <w:tcW w:w="5953" w:type="dxa"/>
          </w:tcPr>
          <w:p w14:paraId="4B7E5C70" w14:textId="77777777" w:rsidR="006A77B6" w:rsidRDefault="006A77B6" w:rsidP="006A77B6">
            <w:pPr>
              <w:pStyle w:val="FSTableText"/>
              <w:keepNext/>
              <w:keepLines/>
              <w:rPr>
                <w:lang w:bidi="ar-SA"/>
              </w:rPr>
            </w:pPr>
            <w:r>
              <w:rPr>
                <w:lang w:bidi="ar-SA"/>
              </w:rPr>
              <w:t>≤ 10 000 cfu/g*</w:t>
            </w:r>
          </w:p>
          <w:p w14:paraId="49AD08C2" w14:textId="77777777" w:rsidR="006A77B6" w:rsidRDefault="006A77B6" w:rsidP="006A77B6">
            <w:pPr>
              <w:pStyle w:val="FSTableText"/>
              <w:keepNext/>
              <w:keepLines/>
              <w:rPr>
                <w:lang w:bidi="ar-SA"/>
              </w:rPr>
            </w:pPr>
            <w:r>
              <w:rPr>
                <w:lang w:bidi="ar-SA"/>
              </w:rPr>
              <w:t xml:space="preserve">Absent/10g </w:t>
            </w:r>
          </w:p>
          <w:p w14:paraId="0E35CCAD" w14:textId="77777777" w:rsidR="006A77B6" w:rsidRDefault="006A77B6" w:rsidP="006A77B6">
            <w:pPr>
              <w:pStyle w:val="CommentText"/>
              <w:keepNext/>
              <w:keepLines/>
              <w:rPr>
                <w:lang w:bidi="ar-SA"/>
              </w:rPr>
            </w:pPr>
            <w:r>
              <w:rPr>
                <w:lang w:bidi="ar-SA"/>
              </w:rPr>
              <w:t xml:space="preserve">Absent/25g </w:t>
            </w:r>
          </w:p>
          <w:p w14:paraId="0C84B70D" w14:textId="7E65FC0D" w:rsidR="00EC1AC8" w:rsidRDefault="006A77B6" w:rsidP="006B288D">
            <w:pPr>
              <w:pStyle w:val="CommentText"/>
              <w:keepNext/>
              <w:keepLines/>
              <w:rPr>
                <w:lang w:bidi="ar-SA"/>
              </w:rPr>
            </w:pPr>
            <w:r w:rsidRPr="00652DB5">
              <w:t xml:space="preserve"> </w:t>
            </w:r>
            <w:r>
              <w:rPr>
                <w:lang w:bidi="ar-SA"/>
              </w:rPr>
              <w:t>≤ 100 cfu/g*</w:t>
            </w:r>
            <w:r w:rsidR="00BD1F3C">
              <w:rPr>
                <w:lang w:bidi="ar-SA"/>
              </w:rPr>
              <w:t xml:space="preserve"> </w:t>
            </w:r>
          </w:p>
        </w:tc>
      </w:tr>
    </w:tbl>
    <w:p w14:paraId="24160737" w14:textId="323C2D1A" w:rsidR="00A9281A" w:rsidRPr="008F68FA" w:rsidRDefault="00080268" w:rsidP="006B288D">
      <w:pPr>
        <w:keepNext/>
        <w:keepLines/>
        <w:rPr>
          <w:sz w:val="20"/>
          <w:lang w:bidi="ar-SA"/>
        </w:rPr>
      </w:pPr>
      <w:r>
        <w:rPr>
          <w:sz w:val="18"/>
          <w:lang w:bidi="ar-SA"/>
        </w:rPr>
        <w:t>*</w:t>
      </w:r>
      <w:r w:rsidR="00F0137A" w:rsidRPr="001646CE">
        <w:rPr>
          <w:sz w:val="18"/>
          <w:lang w:bidi="ar-SA"/>
        </w:rPr>
        <w:t>cfu = colony forming unit</w:t>
      </w:r>
      <w:r w:rsidR="001646CE" w:rsidRPr="001646CE">
        <w:rPr>
          <w:sz w:val="18"/>
          <w:lang w:bidi="ar-SA"/>
        </w:rPr>
        <w:t>.</w:t>
      </w:r>
    </w:p>
    <w:p w14:paraId="4519A649" w14:textId="4E169011" w:rsidR="00082022" w:rsidRDefault="00B13F54" w:rsidP="00E41BD5">
      <w:pPr>
        <w:pStyle w:val="Heading2"/>
      </w:pPr>
      <w:bookmarkStart w:id="379" w:name="_Toc38549489"/>
      <w:bookmarkStart w:id="380" w:name="_Toc38634147"/>
      <w:bookmarkStart w:id="381" w:name="_Toc39571020"/>
      <w:bookmarkStart w:id="382" w:name="_Toc39579275"/>
      <w:bookmarkStart w:id="383" w:name="_Toc39579338"/>
      <w:bookmarkStart w:id="384" w:name="_Toc39587096"/>
      <w:bookmarkStart w:id="385" w:name="_Toc39582488"/>
      <w:bookmarkStart w:id="386" w:name="_Toc40264903"/>
      <w:bookmarkStart w:id="387" w:name="_Toc40266379"/>
      <w:bookmarkStart w:id="388" w:name="_Toc40279711"/>
      <w:bookmarkStart w:id="389" w:name="_Toc40282013"/>
      <w:bookmarkStart w:id="390" w:name="_Toc40282175"/>
      <w:bookmarkStart w:id="391" w:name="_Toc40360505"/>
      <w:bookmarkStart w:id="392" w:name="_Toc40353548"/>
      <w:bookmarkStart w:id="393" w:name="_Toc40366895"/>
      <w:bookmarkStart w:id="394" w:name="_Toc40368227"/>
      <w:bookmarkStart w:id="395" w:name="_Toc40382834"/>
      <w:bookmarkStart w:id="396" w:name="_Toc40431034"/>
      <w:bookmarkStart w:id="397" w:name="_Toc40432972"/>
      <w:bookmarkStart w:id="398" w:name="_Toc40447657"/>
      <w:bookmarkStart w:id="399" w:name="_Toc40441186"/>
      <w:bookmarkStart w:id="400" w:name="_Toc40448522"/>
      <w:bookmarkStart w:id="401" w:name="_Toc40449949"/>
      <w:bookmarkStart w:id="402" w:name="_Toc40968294"/>
      <w:bookmarkStart w:id="403" w:name="_Toc41051016"/>
      <w:bookmarkStart w:id="404" w:name="_Toc41046016"/>
      <w:bookmarkStart w:id="405" w:name="_Toc41053474"/>
      <w:bookmarkStart w:id="406" w:name="_Toc44592645"/>
      <w:bookmarkStart w:id="407" w:name="_Toc44596157"/>
      <w:bookmarkStart w:id="408" w:name="_Toc44604552"/>
      <w:bookmarkStart w:id="409" w:name="_Toc54169701"/>
      <w:bookmarkStart w:id="410" w:name="_Toc56089990"/>
      <w:r>
        <w:t>2.8</w:t>
      </w:r>
      <w:r w:rsidR="005021AA">
        <w:tab/>
      </w:r>
      <w:r w:rsidR="00A36783">
        <w:t>Food technology conclusion</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58DBED30" w14:textId="77777777" w:rsidR="003D0053" w:rsidRDefault="00B71E23" w:rsidP="00B71E23">
      <w:pPr>
        <w:rPr>
          <w:lang w:bidi="ar-SA"/>
        </w:rPr>
      </w:pPr>
      <w:r>
        <w:rPr>
          <w:lang w:bidi="ar-SA"/>
        </w:rPr>
        <w:t xml:space="preserve">FSANZ concludes that rapeseed protein isolate, when used as </w:t>
      </w:r>
      <w:r w:rsidR="00933038">
        <w:rPr>
          <w:lang w:bidi="ar-SA"/>
        </w:rPr>
        <w:t xml:space="preserve">a novel food ingredient and as a </w:t>
      </w:r>
      <w:r w:rsidR="0017532F" w:rsidRPr="003D2328">
        <w:rPr>
          <w:lang w:bidi="ar-SA"/>
        </w:rPr>
        <w:t>replacement protein</w:t>
      </w:r>
      <w:r w:rsidR="001F00BC">
        <w:rPr>
          <w:lang w:bidi="ar-SA"/>
        </w:rPr>
        <w:t xml:space="preserve"> </w:t>
      </w:r>
      <w:r w:rsidR="001926E4">
        <w:rPr>
          <w:lang w:bidi="ar-SA"/>
        </w:rPr>
        <w:t>source</w:t>
      </w:r>
      <w:r w:rsidR="001F00BC">
        <w:rPr>
          <w:lang w:bidi="ar-SA"/>
        </w:rPr>
        <w:t>, including for use in new product development</w:t>
      </w:r>
      <w:r w:rsidR="001926E4">
        <w:rPr>
          <w:lang w:bidi="ar-SA"/>
        </w:rPr>
        <w:t xml:space="preserve"> </w:t>
      </w:r>
      <w:r>
        <w:rPr>
          <w:lang w:bidi="ar-SA"/>
        </w:rPr>
        <w:t xml:space="preserve">in a range of foods is technologically justified </w:t>
      </w:r>
      <w:r w:rsidR="00EC2FC8">
        <w:rPr>
          <w:lang w:bidi="ar-SA"/>
        </w:rPr>
        <w:t xml:space="preserve">at typical use </w:t>
      </w:r>
      <w:r w:rsidR="00821A0B">
        <w:rPr>
          <w:lang w:bidi="ar-SA"/>
        </w:rPr>
        <w:t>levels</w:t>
      </w:r>
      <w:r>
        <w:rPr>
          <w:lang w:bidi="ar-SA"/>
        </w:rPr>
        <w:t xml:space="preserve"> </w:t>
      </w:r>
      <w:r w:rsidR="00BD6063">
        <w:rPr>
          <w:lang w:bidi="ar-SA"/>
        </w:rPr>
        <w:t xml:space="preserve">of </w:t>
      </w:r>
      <w:r w:rsidR="00EC2FC8">
        <w:rPr>
          <w:lang w:bidi="ar-SA"/>
        </w:rPr>
        <w:t xml:space="preserve">up to 10% </w:t>
      </w:r>
      <w:r>
        <w:rPr>
          <w:lang w:bidi="ar-SA"/>
        </w:rPr>
        <w:t xml:space="preserve">and </w:t>
      </w:r>
      <w:r w:rsidR="00EC2FC8">
        <w:rPr>
          <w:lang w:bidi="ar-SA"/>
        </w:rPr>
        <w:t xml:space="preserve">in the </w:t>
      </w:r>
      <w:r>
        <w:rPr>
          <w:lang w:bidi="ar-SA"/>
        </w:rPr>
        <w:t xml:space="preserve">form proposed. </w:t>
      </w:r>
    </w:p>
    <w:p w14:paraId="5A5F0CEB" w14:textId="5C90693C" w:rsidR="003D0053" w:rsidRDefault="00916FD3" w:rsidP="003D0053">
      <w:pPr>
        <w:rPr>
          <w:lang w:bidi="ar-SA"/>
        </w:rPr>
      </w:pPr>
      <w:r>
        <w:rPr>
          <w:lang w:bidi="ar-SA"/>
        </w:rPr>
        <w:t>For use in food, rapeseed protein</w:t>
      </w:r>
      <w:r w:rsidR="003D0053">
        <w:rPr>
          <w:lang w:bidi="ar-SA"/>
        </w:rPr>
        <w:t xml:space="preserve"> needs to be sourced from </w:t>
      </w:r>
      <w:r w:rsidR="00650E8E" w:rsidRPr="007308A9">
        <w:rPr>
          <w:lang w:bidi="ar-SA"/>
        </w:rPr>
        <w:t xml:space="preserve">modern cultivars of </w:t>
      </w:r>
      <w:r w:rsidR="003D0053" w:rsidRPr="007308A9">
        <w:rPr>
          <w:i/>
          <w:lang w:bidi="ar-SA"/>
        </w:rPr>
        <w:t>Brassica</w:t>
      </w:r>
      <w:r w:rsidR="003D0053" w:rsidRPr="007308A9">
        <w:rPr>
          <w:lang w:bidi="ar-SA"/>
        </w:rPr>
        <w:t xml:space="preserve"> species</w:t>
      </w:r>
      <w:r w:rsidR="00777843" w:rsidRPr="007308A9">
        <w:rPr>
          <w:lang w:bidi="ar-SA"/>
        </w:rPr>
        <w:t>:</w:t>
      </w:r>
      <w:r w:rsidR="003D0053" w:rsidRPr="007308A9">
        <w:rPr>
          <w:lang w:bidi="ar-SA"/>
        </w:rPr>
        <w:t xml:space="preserve"> </w:t>
      </w:r>
      <w:r w:rsidR="00777843" w:rsidRPr="007308A9">
        <w:rPr>
          <w:i/>
          <w:lang w:bidi="ar-SA"/>
        </w:rPr>
        <w:t>Brassica napus</w:t>
      </w:r>
      <w:r w:rsidR="00777843" w:rsidRPr="007308A9">
        <w:rPr>
          <w:lang w:bidi="ar-SA"/>
        </w:rPr>
        <w:t xml:space="preserve">, </w:t>
      </w:r>
      <w:r w:rsidR="00777843" w:rsidRPr="007308A9">
        <w:rPr>
          <w:i/>
          <w:lang w:bidi="ar-SA"/>
        </w:rPr>
        <w:t>Brassica rapa or Brassica juncea</w:t>
      </w:r>
      <w:r w:rsidR="003D0053" w:rsidRPr="007308A9">
        <w:rPr>
          <w:lang w:bidi="ar-SA"/>
        </w:rPr>
        <w:t xml:space="preserve"> that</w:t>
      </w:r>
      <w:r w:rsidR="003D0053" w:rsidRPr="007308A9">
        <w:rPr>
          <w:i/>
          <w:lang w:bidi="ar-SA"/>
        </w:rPr>
        <w:t xml:space="preserve"> </w:t>
      </w:r>
      <w:r w:rsidR="003D0053" w:rsidRPr="007308A9">
        <w:rPr>
          <w:lang w:bidi="ar-SA"/>
        </w:rPr>
        <w:t>are low in the anti-nutritional factors; erucic acid and glucosinolates.</w:t>
      </w:r>
      <w:r w:rsidR="00E15D97" w:rsidRPr="007308A9">
        <w:rPr>
          <w:lang w:bidi="ar-SA"/>
        </w:rPr>
        <w:t xml:space="preserve"> </w:t>
      </w:r>
    </w:p>
    <w:p w14:paraId="0B7F7767" w14:textId="77777777" w:rsidR="003D0053" w:rsidRDefault="003D0053" w:rsidP="003D0053">
      <w:pPr>
        <w:rPr>
          <w:lang w:bidi="ar-SA"/>
        </w:rPr>
      </w:pPr>
    </w:p>
    <w:p w14:paraId="1E2227BD" w14:textId="4EC83CC0" w:rsidR="00751CCA" w:rsidRDefault="00B71E23" w:rsidP="00B71E23">
      <w:pPr>
        <w:rPr>
          <w:lang w:bidi="ar-SA"/>
        </w:rPr>
      </w:pPr>
      <w:r>
        <w:rPr>
          <w:lang w:bidi="ar-SA"/>
        </w:rPr>
        <w:t xml:space="preserve">It </w:t>
      </w:r>
      <w:r w:rsidR="0064134D">
        <w:rPr>
          <w:lang w:bidi="ar-SA"/>
        </w:rPr>
        <w:t>also</w:t>
      </w:r>
      <w:r>
        <w:rPr>
          <w:lang w:bidi="ar-SA"/>
        </w:rPr>
        <w:t xml:space="preserve"> provides </w:t>
      </w:r>
      <w:r w:rsidR="00A718FA">
        <w:rPr>
          <w:lang w:bidi="ar-SA"/>
        </w:rPr>
        <w:t xml:space="preserve">various </w:t>
      </w:r>
      <w:r w:rsidR="00A718FA" w:rsidRPr="00A718FA">
        <w:rPr>
          <w:lang w:bidi="ar-SA"/>
        </w:rPr>
        <w:t>t</w:t>
      </w:r>
      <w:r w:rsidR="00A718FA">
        <w:rPr>
          <w:lang w:bidi="ar-SA"/>
        </w:rPr>
        <w:t>echnological functions in foods,</w:t>
      </w:r>
      <w:r w:rsidR="00A718FA" w:rsidRPr="00A718FA">
        <w:rPr>
          <w:lang w:bidi="ar-SA"/>
        </w:rPr>
        <w:t xml:space="preserve"> including thickening, water binding, emulsifying, gelling, foaming </w:t>
      </w:r>
      <w:r w:rsidR="00A718FA">
        <w:rPr>
          <w:lang w:bidi="ar-SA"/>
        </w:rPr>
        <w:t>and providing textur</w:t>
      </w:r>
      <w:r w:rsidR="0010567D">
        <w:rPr>
          <w:lang w:bidi="ar-SA"/>
        </w:rPr>
        <w:t>e</w:t>
      </w:r>
      <w:r>
        <w:rPr>
          <w:lang w:bidi="ar-SA"/>
        </w:rPr>
        <w:t>.</w:t>
      </w:r>
      <w:r w:rsidR="00A718FA" w:rsidRPr="00A718FA">
        <w:t xml:space="preserve"> </w:t>
      </w:r>
      <w:r w:rsidR="00EC2FC8">
        <w:rPr>
          <w:lang w:bidi="ar-SA"/>
        </w:rPr>
        <w:t xml:space="preserve">At typical use levels bitter notes will not be apparent. </w:t>
      </w:r>
    </w:p>
    <w:p w14:paraId="03E91452" w14:textId="2B130A0F" w:rsidR="00A01356" w:rsidRDefault="00A01356" w:rsidP="00B902E4">
      <w:pPr>
        <w:pStyle w:val="Heading1"/>
        <w:numPr>
          <w:ilvl w:val="0"/>
          <w:numId w:val="4"/>
        </w:numPr>
        <w:ind w:hanging="720"/>
      </w:pPr>
      <w:bookmarkStart w:id="411" w:name="_Toc38549490"/>
      <w:bookmarkStart w:id="412" w:name="_Toc38634148"/>
      <w:bookmarkStart w:id="413" w:name="_Toc39571021"/>
      <w:bookmarkStart w:id="414" w:name="_Toc39579276"/>
      <w:bookmarkStart w:id="415" w:name="_Toc39579339"/>
      <w:bookmarkStart w:id="416" w:name="_Toc39587097"/>
      <w:bookmarkStart w:id="417" w:name="_Toc39582489"/>
      <w:bookmarkStart w:id="418" w:name="_Toc40264904"/>
      <w:bookmarkStart w:id="419" w:name="_Toc40266380"/>
      <w:bookmarkStart w:id="420" w:name="_Toc40279712"/>
      <w:bookmarkStart w:id="421" w:name="_Toc40282014"/>
      <w:bookmarkStart w:id="422" w:name="_Toc40282176"/>
      <w:bookmarkStart w:id="423" w:name="_Toc40360506"/>
      <w:bookmarkStart w:id="424" w:name="_Toc40353549"/>
      <w:bookmarkStart w:id="425" w:name="_Toc40366896"/>
      <w:bookmarkStart w:id="426" w:name="_Toc40368228"/>
      <w:bookmarkStart w:id="427" w:name="_Toc40382835"/>
      <w:bookmarkStart w:id="428" w:name="_Toc40431035"/>
      <w:bookmarkStart w:id="429" w:name="_Toc40432973"/>
      <w:bookmarkStart w:id="430" w:name="_Toc40447658"/>
      <w:bookmarkStart w:id="431" w:name="_Toc40441187"/>
      <w:bookmarkStart w:id="432" w:name="_Toc40448523"/>
      <w:bookmarkStart w:id="433" w:name="_Toc40449950"/>
      <w:bookmarkStart w:id="434" w:name="_Toc40968295"/>
      <w:bookmarkStart w:id="435" w:name="_Toc41051017"/>
      <w:bookmarkStart w:id="436" w:name="_Toc41046017"/>
      <w:bookmarkStart w:id="437" w:name="_Toc41053475"/>
      <w:bookmarkStart w:id="438" w:name="_Toc44592646"/>
      <w:bookmarkStart w:id="439" w:name="_Toc44596158"/>
      <w:bookmarkStart w:id="440" w:name="_Toc44604553"/>
      <w:bookmarkStart w:id="441" w:name="_Toc54169702"/>
      <w:bookmarkStart w:id="442" w:name="_Toc56089991"/>
      <w:r>
        <w:t>Microbiological assessment</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654AE02D" w14:textId="25313D0B" w:rsidR="00A2491D" w:rsidRDefault="00FC2B07" w:rsidP="00E41BD5">
      <w:pPr>
        <w:pStyle w:val="Heading2"/>
      </w:pPr>
      <w:bookmarkStart w:id="443" w:name="_Toc38549491"/>
      <w:bookmarkStart w:id="444" w:name="_Toc38634149"/>
      <w:bookmarkStart w:id="445" w:name="_Toc39571022"/>
      <w:bookmarkStart w:id="446" w:name="_Toc40264905"/>
      <w:bookmarkStart w:id="447" w:name="_Toc40266381"/>
      <w:bookmarkStart w:id="448" w:name="_Toc40279713"/>
      <w:bookmarkStart w:id="449" w:name="_Toc40282015"/>
      <w:bookmarkStart w:id="450" w:name="_Toc40282177"/>
      <w:bookmarkStart w:id="451" w:name="_Toc40360507"/>
      <w:bookmarkStart w:id="452" w:name="_Toc40353550"/>
      <w:bookmarkStart w:id="453" w:name="_Toc40366897"/>
      <w:bookmarkStart w:id="454" w:name="_Toc40368229"/>
      <w:bookmarkStart w:id="455" w:name="_Toc40382836"/>
      <w:bookmarkStart w:id="456" w:name="_Toc40431036"/>
      <w:bookmarkStart w:id="457" w:name="_Toc40432974"/>
      <w:bookmarkStart w:id="458" w:name="_Toc40447659"/>
      <w:bookmarkStart w:id="459" w:name="_Toc40441188"/>
      <w:bookmarkStart w:id="460" w:name="_Toc40448524"/>
      <w:bookmarkStart w:id="461" w:name="_Toc40449951"/>
      <w:bookmarkStart w:id="462" w:name="_Toc40968296"/>
      <w:bookmarkStart w:id="463" w:name="_Toc41051018"/>
      <w:bookmarkStart w:id="464" w:name="_Toc41046018"/>
      <w:bookmarkStart w:id="465" w:name="_Toc41053476"/>
      <w:bookmarkStart w:id="466" w:name="_Toc44592647"/>
      <w:bookmarkStart w:id="467" w:name="_Toc44596159"/>
      <w:bookmarkStart w:id="468" w:name="_Toc44604554"/>
      <w:bookmarkStart w:id="469" w:name="_Toc54169703"/>
      <w:bookmarkStart w:id="470" w:name="_Toc56089992"/>
      <w:bookmarkStart w:id="471" w:name="_Toc39579277"/>
      <w:bookmarkStart w:id="472" w:name="_Toc39579340"/>
      <w:bookmarkStart w:id="473" w:name="_Toc39587098"/>
      <w:bookmarkStart w:id="474" w:name="_Toc39582490"/>
      <w:r>
        <w:t>3.1</w:t>
      </w:r>
      <w:r w:rsidR="00B902E4">
        <w:tab/>
      </w:r>
      <w:r>
        <w:t>Objective</w:t>
      </w:r>
      <w:r w:rsidR="009A21D7">
        <w:t>s</w:t>
      </w:r>
      <w:r>
        <w:t xml:space="preserve"> for the microbiological assessment</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168DF7FD" w14:textId="77777777" w:rsidR="00417F44" w:rsidRDefault="00417F44" w:rsidP="00A2491D">
      <w:pPr>
        <w:rPr>
          <w:lang w:bidi="ar-SA"/>
        </w:rPr>
      </w:pPr>
      <w:r>
        <w:rPr>
          <w:lang w:bidi="ar-SA"/>
        </w:rPr>
        <w:t>The objectives for the microbiological risk assessment were:</w:t>
      </w:r>
    </w:p>
    <w:p w14:paraId="4092E16B" w14:textId="506556F9" w:rsidR="00417F44" w:rsidRDefault="00417F44" w:rsidP="00417F44">
      <w:pPr>
        <w:pStyle w:val="FSBullet1"/>
        <w:rPr>
          <w:lang w:val="en-AU"/>
        </w:rPr>
      </w:pPr>
      <w:r>
        <w:t xml:space="preserve">to identify </w:t>
      </w:r>
      <w:r>
        <w:rPr>
          <w:lang w:val="en-AU"/>
        </w:rPr>
        <w:t xml:space="preserve">microbiological </w:t>
      </w:r>
      <w:r w:rsidR="00712F7E">
        <w:rPr>
          <w:lang w:val="en-AU"/>
        </w:rPr>
        <w:t>hazards</w:t>
      </w:r>
      <w:r>
        <w:rPr>
          <w:lang w:val="en-AU"/>
        </w:rPr>
        <w:t xml:space="preserve"> for public health and safety in permitting rapeseed protein isolate</w:t>
      </w:r>
    </w:p>
    <w:p w14:paraId="68D5B337" w14:textId="0B6EB202" w:rsidR="00417F44" w:rsidRPr="00417F44" w:rsidRDefault="00417F44" w:rsidP="00417F44">
      <w:pPr>
        <w:pStyle w:val="FSBullet1"/>
        <w:rPr>
          <w:lang w:val="en-AU"/>
        </w:rPr>
      </w:pPr>
      <w:r>
        <w:rPr>
          <w:lang w:val="en-AU"/>
        </w:rPr>
        <w:t xml:space="preserve">to review the manufacturing process and </w:t>
      </w:r>
      <w:r w:rsidR="00712F7E">
        <w:rPr>
          <w:lang w:val="en-AU"/>
        </w:rPr>
        <w:t>controls for</w:t>
      </w:r>
      <w:r>
        <w:rPr>
          <w:lang w:val="en-AU"/>
        </w:rPr>
        <w:t xml:space="preserve"> microbiological </w:t>
      </w:r>
      <w:r w:rsidR="00712F7E">
        <w:rPr>
          <w:lang w:val="en-AU"/>
        </w:rPr>
        <w:t>hazards</w:t>
      </w:r>
    </w:p>
    <w:p w14:paraId="0C8DDDB2" w14:textId="43034466" w:rsidR="004B2CE6" w:rsidRDefault="004B2CE6" w:rsidP="000C5530">
      <w:pPr>
        <w:pStyle w:val="FSBullet1"/>
        <w:rPr>
          <w:lang w:val="en-AU"/>
        </w:rPr>
      </w:pPr>
      <w:r>
        <w:rPr>
          <w:lang w:val="en-AU"/>
        </w:rPr>
        <w:t xml:space="preserve">to consider </w:t>
      </w:r>
      <w:r w:rsidR="00712F7E">
        <w:rPr>
          <w:lang w:val="en-AU"/>
        </w:rPr>
        <w:t xml:space="preserve">the </w:t>
      </w:r>
      <w:r>
        <w:rPr>
          <w:lang w:val="en-AU"/>
        </w:rPr>
        <w:t xml:space="preserve">risk associated with </w:t>
      </w:r>
      <w:r w:rsidR="00712F7E">
        <w:rPr>
          <w:lang w:val="en-AU"/>
        </w:rPr>
        <w:t>food permissions</w:t>
      </w:r>
      <w:r w:rsidR="008B4B97">
        <w:rPr>
          <w:lang w:val="en-AU"/>
        </w:rPr>
        <w:t>.</w:t>
      </w:r>
    </w:p>
    <w:p w14:paraId="0883CB16" w14:textId="5D50A0B4" w:rsidR="00FC2B07" w:rsidRDefault="00D64B40" w:rsidP="00E41BD5">
      <w:pPr>
        <w:pStyle w:val="Heading2"/>
      </w:pPr>
      <w:bookmarkStart w:id="475" w:name="_Toc40279714"/>
      <w:bookmarkStart w:id="476" w:name="_Toc40282016"/>
      <w:bookmarkStart w:id="477" w:name="_Toc40282178"/>
      <w:bookmarkStart w:id="478" w:name="_Toc40360508"/>
      <w:bookmarkStart w:id="479" w:name="_Toc40353551"/>
      <w:bookmarkStart w:id="480" w:name="_Toc40366898"/>
      <w:bookmarkStart w:id="481" w:name="_Toc40368230"/>
      <w:bookmarkStart w:id="482" w:name="_Toc40382837"/>
      <w:bookmarkStart w:id="483" w:name="_Toc40431037"/>
      <w:bookmarkStart w:id="484" w:name="_Toc40432975"/>
      <w:bookmarkStart w:id="485" w:name="_Toc40447660"/>
      <w:bookmarkStart w:id="486" w:name="_Toc40441189"/>
      <w:bookmarkStart w:id="487" w:name="_Toc40448525"/>
      <w:bookmarkStart w:id="488" w:name="_Toc40449952"/>
      <w:bookmarkStart w:id="489" w:name="_Toc40968297"/>
      <w:bookmarkStart w:id="490" w:name="_Toc41051019"/>
      <w:bookmarkStart w:id="491" w:name="_Toc41046019"/>
      <w:bookmarkStart w:id="492" w:name="_Toc41053477"/>
      <w:bookmarkStart w:id="493" w:name="_Toc44592648"/>
      <w:bookmarkStart w:id="494" w:name="_Toc44596160"/>
      <w:bookmarkStart w:id="495" w:name="_Toc44604555"/>
      <w:bookmarkStart w:id="496" w:name="_Toc54169704"/>
      <w:bookmarkStart w:id="497" w:name="_Toc56089993"/>
      <w:bookmarkEnd w:id="471"/>
      <w:bookmarkEnd w:id="472"/>
      <w:bookmarkEnd w:id="473"/>
      <w:bookmarkEnd w:id="474"/>
      <w:r>
        <w:t>3.2</w:t>
      </w:r>
      <w:r w:rsidR="00B902E4">
        <w:tab/>
      </w:r>
      <w:r w:rsidR="005A1289">
        <w:t>Microbiological hazards in rapeseed protein isolate</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76321266" w14:textId="3112CE9E" w:rsidR="006A4A8B" w:rsidRDefault="00AB056F" w:rsidP="002E507F">
      <w:pPr>
        <w:rPr>
          <w:lang w:bidi="ar-SA"/>
        </w:rPr>
      </w:pPr>
      <w:r>
        <w:rPr>
          <w:lang w:bidi="ar-SA"/>
        </w:rPr>
        <w:t xml:space="preserve">Rapeseed protein isolate is a low moisture food </w:t>
      </w:r>
      <w:r w:rsidR="000E4229">
        <w:rPr>
          <w:lang w:bidi="ar-SA"/>
        </w:rPr>
        <w:t xml:space="preserve">and </w:t>
      </w:r>
      <w:r>
        <w:rPr>
          <w:lang w:bidi="ar-SA"/>
        </w:rPr>
        <w:t xml:space="preserve">as </w:t>
      </w:r>
      <w:r w:rsidR="000E4229">
        <w:rPr>
          <w:lang w:bidi="ar-SA"/>
        </w:rPr>
        <w:t>such,</w:t>
      </w:r>
      <w:r w:rsidR="006A4A8B" w:rsidRPr="00712F7E">
        <w:rPr>
          <w:lang w:bidi="ar-SA"/>
        </w:rPr>
        <w:t xml:space="preserve"> </w:t>
      </w:r>
      <w:r w:rsidR="006A4A8B" w:rsidRPr="00712F7E">
        <w:rPr>
          <w:i/>
          <w:lang w:bidi="ar-SA"/>
        </w:rPr>
        <w:t>Salmonella</w:t>
      </w:r>
      <w:r w:rsidR="006A4A8B">
        <w:rPr>
          <w:lang w:bidi="ar-SA"/>
        </w:rPr>
        <w:t xml:space="preserve"> spp. and </w:t>
      </w:r>
      <w:r w:rsidR="006A4A8B" w:rsidRPr="00CB4152">
        <w:rPr>
          <w:i/>
          <w:lang w:bidi="ar-SA"/>
        </w:rPr>
        <w:t>Bacillus</w:t>
      </w:r>
      <w:r w:rsidR="006A4A8B">
        <w:rPr>
          <w:lang w:bidi="ar-SA"/>
        </w:rPr>
        <w:t xml:space="preserve"> </w:t>
      </w:r>
      <w:r w:rsidR="006A4A8B" w:rsidRPr="00712F7E">
        <w:rPr>
          <w:i/>
          <w:lang w:bidi="ar-SA"/>
        </w:rPr>
        <w:t>cereus</w:t>
      </w:r>
      <w:r w:rsidR="006A4A8B">
        <w:rPr>
          <w:lang w:bidi="ar-SA"/>
        </w:rPr>
        <w:t xml:space="preserve"> are the primary pathogens of concern.</w:t>
      </w:r>
    </w:p>
    <w:p w14:paraId="02E9A6D4" w14:textId="77777777" w:rsidR="000E4229" w:rsidRDefault="000E4229" w:rsidP="002E507F">
      <w:pPr>
        <w:rPr>
          <w:lang w:bidi="ar-SA"/>
        </w:rPr>
      </w:pPr>
    </w:p>
    <w:p w14:paraId="70EEB771" w14:textId="6AAFA55E" w:rsidR="002E507F" w:rsidRDefault="00DF110B" w:rsidP="002E507F">
      <w:pPr>
        <w:rPr>
          <w:lang w:bidi="ar-SA"/>
        </w:rPr>
      </w:pPr>
      <w:r>
        <w:rPr>
          <w:lang w:bidi="ar-SA"/>
        </w:rPr>
        <w:t>As a novel protein, there are currently no requirements in the Code for rapeseed protein isolate</w:t>
      </w:r>
      <w:r w:rsidR="001F00BC">
        <w:rPr>
          <w:lang w:bidi="ar-SA"/>
        </w:rPr>
        <w:t>.</w:t>
      </w:r>
      <w:r>
        <w:rPr>
          <w:lang w:bidi="ar-SA"/>
        </w:rPr>
        <w:t xml:space="preserve"> </w:t>
      </w:r>
      <w:r w:rsidR="001F00BC">
        <w:rPr>
          <w:lang w:bidi="ar-SA"/>
        </w:rPr>
        <w:t>For this reason the microbiological assessment</w:t>
      </w:r>
      <w:r>
        <w:rPr>
          <w:lang w:bidi="ar-SA"/>
        </w:rPr>
        <w:t xml:space="preserve"> referred to t</w:t>
      </w:r>
      <w:r w:rsidR="002E507F">
        <w:rPr>
          <w:lang w:bidi="ar-SA"/>
        </w:rPr>
        <w:t xml:space="preserve">he Codex General Standards for Vegetable Protein Products (VPP) (CXS 174-1989) </w:t>
      </w:r>
      <w:r w:rsidR="00C56B33">
        <w:rPr>
          <w:lang w:bidi="ar-SA"/>
        </w:rPr>
        <w:t xml:space="preserve">(Codex Alimentarius Commission, </w:t>
      </w:r>
      <w:r w:rsidR="00C56B33" w:rsidRPr="00C56B33">
        <w:rPr>
          <w:lang w:bidi="ar-SA"/>
        </w:rPr>
        <w:t>2019)</w:t>
      </w:r>
      <w:r w:rsidR="00C56B33">
        <w:rPr>
          <w:lang w:bidi="ar-SA"/>
        </w:rPr>
        <w:t xml:space="preserve"> </w:t>
      </w:r>
      <w:r>
        <w:rPr>
          <w:lang w:bidi="ar-SA"/>
        </w:rPr>
        <w:t xml:space="preserve">which </w:t>
      </w:r>
      <w:r w:rsidR="002E507F">
        <w:rPr>
          <w:lang w:bidi="ar-SA"/>
        </w:rPr>
        <w:t xml:space="preserve">applies to vegetable protein products </w:t>
      </w:r>
      <w:r>
        <w:rPr>
          <w:lang w:bidi="ar-SA"/>
        </w:rPr>
        <w:t xml:space="preserve">(including rapeseed protein) </w:t>
      </w:r>
      <w:r w:rsidR="002E507F">
        <w:rPr>
          <w:lang w:bidi="ar-SA"/>
        </w:rPr>
        <w:t>intended for use in foods. The standard covers composition, quality and nutrition factors as well as packaging and labelling requirements. Section 6 of the standard covers hygiene and recommends that VPP should be prepared in accordance to the Codex General Principles of Food Hygiene (CXC 1-1969)</w:t>
      </w:r>
      <w:r w:rsidR="00712F7E">
        <w:rPr>
          <w:lang w:bidi="ar-SA"/>
        </w:rPr>
        <w:t xml:space="preserve"> </w:t>
      </w:r>
      <w:r w:rsidR="00C56B33">
        <w:rPr>
          <w:lang w:bidi="ar-SA"/>
        </w:rPr>
        <w:t xml:space="preserve">(Codex Alimentarius Commission, </w:t>
      </w:r>
      <w:r w:rsidR="00C56B33" w:rsidRPr="00C56B33">
        <w:rPr>
          <w:lang w:bidi="ar-SA"/>
        </w:rPr>
        <w:t>2003)</w:t>
      </w:r>
      <w:r w:rsidR="00C56B33">
        <w:rPr>
          <w:lang w:bidi="ar-SA"/>
        </w:rPr>
        <w:t xml:space="preserve"> </w:t>
      </w:r>
      <w:r w:rsidR="00712F7E">
        <w:rPr>
          <w:lang w:bidi="ar-SA"/>
        </w:rPr>
        <w:t>and that p</w:t>
      </w:r>
      <w:r w:rsidR="002E507F">
        <w:rPr>
          <w:lang w:bidi="ar-SA"/>
        </w:rPr>
        <w:t>roducts shall be free of micro-organisms which may represent a hazard to health. The moisture content of VPP must be low enough to ensure microbiological stability under the recommended conditions of storage.</w:t>
      </w:r>
    </w:p>
    <w:p w14:paraId="110067EF" w14:textId="77777777" w:rsidR="002E507F" w:rsidRDefault="002E507F" w:rsidP="002E507F">
      <w:pPr>
        <w:rPr>
          <w:lang w:bidi="ar-SA"/>
        </w:rPr>
      </w:pPr>
    </w:p>
    <w:p w14:paraId="579FF54B" w14:textId="77777777" w:rsidR="002E507F" w:rsidRDefault="002E507F" w:rsidP="002E507F">
      <w:pPr>
        <w:rPr>
          <w:lang w:bidi="ar-SA"/>
        </w:rPr>
      </w:pPr>
      <w:r>
        <w:rPr>
          <w:lang w:bidi="ar-SA"/>
        </w:rPr>
        <w:t>The Codex General Principles of Food Hygiene sets out the necessary hygiene conditions for producing food which is safe and suitable for consumption. The control of food hazards can be achieved through the use of systems such as Hazard Analysis and Critical Control (HACCP) which should:</w:t>
      </w:r>
    </w:p>
    <w:p w14:paraId="2E92244D" w14:textId="1B2EA50A" w:rsidR="002E507F" w:rsidRDefault="002E507F" w:rsidP="002E507F">
      <w:pPr>
        <w:rPr>
          <w:lang w:bidi="ar-SA"/>
        </w:rPr>
      </w:pPr>
    </w:p>
    <w:p w14:paraId="37876096" w14:textId="2635DCD0" w:rsidR="002E507F" w:rsidRDefault="002E507F" w:rsidP="002E507F">
      <w:pPr>
        <w:rPr>
          <w:lang w:bidi="ar-SA"/>
        </w:rPr>
      </w:pPr>
      <w:r>
        <w:rPr>
          <w:lang w:bidi="ar-SA"/>
        </w:rPr>
        <w:t xml:space="preserve">• identify any steps in their operations which are </w:t>
      </w:r>
      <w:r w:rsidR="00774A2E">
        <w:rPr>
          <w:lang w:bidi="ar-SA"/>
        </w:rPr>
        <w:t>critical to the safety of food;</w:t>
      </w:r>
    </w:p>
    <w:p w14:paraId="5F912053" w14:textId="12855BE3" w:rsidR="002E507F" w:rsidRDefault="002E507F" w:rsidP="002E507F">
      <w:pPr>
        <w:rPr>
          <w:lang w:bidi="ar-SA"/>
        </w:rPr>
      </w:pPr>
      <w:r>
        <w:rPr>
          <w:lang w:bidi="ar-SA"/>
        </w:rPr>
        <w:t>• implement effective con</w:t>
      </w:r>
      <w:r w:rsidR="00774A2E">
        <w:rPr>
          <w:lang w:bidi="ar-SA"/>
        </w:rPr>
        <w:t>trol procedures at those steps;</w:t>
      </w:r>
    </w:p>
    <w:p w14:paraId="5D91F514" w14:textId="4B65EFD7" w:rsidR="002E507F" w:rsidRDefault="002E507F" w:rsidP="002E507F">
      <w:pPr>
        <w:rPr>
          <w:lang w:bidi="ar-SA"/>
        </w:rPr>
      </w:pPr>
      <w:r>
        <w:rPr>
          <w:lang w:bidi="ar-SA"/>
        </w:rPr>
        <w:t>• monitor control procedures to ensure thei</w:t>
      </w:r>
      <w:r w:rsidR="00774A2E">
        <w:rPr>
          <w:lang w:bidi="ar-SA"/>
        </w:rPr>
        <w:t>r continuing effectiveness; and</w:t>
      </w:r>
    </w:p>
    <w:p w14:paraId="4373F3CE" w14:textId="0AD00F6C" w:rsidR="002E507F" w:rsidRDefault="002E507F" w:rsidP="002E507F">
      <w:pPr>
        <w:rPr>
          <w:lang w:bidi="ar-SA"/>
        </w:rPr>
      </w:pPr>
      <w:r>
        <w:rPr>
          <w:lang w:bidi="ar-SA"/>
        </w:rPr>
        <w:t xml:space="preserve">• review control procedures periodically, and </w:t>
      </w:r>
      <w:r w:rsidR="00774A2E">
        <w:rPr>
          <w:lang w:bidi="ar-SA"/>
        </w:rPr>
        <w:t>whenever the operations change.</w:t>
      </w:r>
    </w:p>
    <w:p w14:paraId="525D031F" w14:textId="77777777" w:rsidR="002E507F" w:rsidRDefault="002E507F" w:rsidP="002E507F">
      <w:pPr>
        <w:rPr>
          <w:lang w:bidi="ar-SA"/>
        </w:rPr>
      </w:pPr>
    </w:p>
    <w:p w14:paraId="554D9B92" w14:textId="77777777" w:rsidR="002E507F" w:rsidRDefault="002E507F" w:rsidP="002E507F">
      <w:pPr>
        <w:rPr>
          <w:lang w:bidi="ar-SA"/>
        </w:rPr>
      </w:pPr>
      <w:r>
        <w:rPr>
          <w:lang w:bidi="ar-SA"/>
        </w:rPr>
        <w:t>A Critical Control Point (CCP) is defined as a step at which control can be applied and is essential to prevent or eliminate a food safety hazard or reduce it to an acceptable level.</w:t>
      </w:r>
    </w:p>
    <w:p w14:paraId="1D560BAE" w14:textId="77777777" w:rsidR="002E507F" w:rsidRDefault="002E507F" w:rsidP="002E507F">
      <w:pPr>
        <w:rPr>
          <w:lang w:bidi="ar-SA"/>
        </w:rPr>
      </w:pPr>
    </w:p>
    <w:p w14:paraId="090ACB4F" w14:textId="7585C019" w:rsidR="002E507F" w:rsidRDefault="002E507F" w:rsidP="002E507F">
      <w:pPr>
        <w:rPr>
          <w:lang w:bidi="ar-SA"/>
        </w:rPr>
      </w:pPr>
      <w:r>
        <w:rPr>
          <w:lang w:bidi="ar-SA"/>
        </w:rPr>
        <w:t xml:space="preserve">Codex has also developed specific guidance for low moisture foods through the Code of Hygienic Practice for Low-Moisture Foods (CXC 75-2015) </w:t>
      </w:r>
      <w:r w:rsidR="00C56B33">
        <w:rPr>
          <w:lang w:bidi="ar-SA"/>
        </w:rPr>
        <w:t xml:space="preserve">(Codex Alimentarius Commission, </w:t>
      </w:r>
      <w:r w:rsidR="00C56B33" w:rsidRPr="00C56B33">
        <w:rPr>
          <w:lang w:bidi="ar-SA"/>
        </w:rPr>
        <w:t>2018)</w:t>
      </w:r>
      <w:r w:rsidR="00C56B33">
        <w:rPr>
          <w:lang w:bidi="ar-SA"/>
        </w:rPr>
        <w:t xml:space="preserve"> </w:t>
      </w:r>
      <w:r>
        <w:rPr>
          <w:lang w:bidi="ar-SA"/>
        </w:rPr>
        <w:t>which outlines Good Manufacturing Practices (GMPs) and Good Hygienic Practices (GHPs) that will help control microbial hazards during the manufacture of low</w:t>
      </w:r>
      <w:r w:rsidR="00AA03BF">
        <w:rPr>
          <w:lang w:bidi="ar-SA"/>
        </w:rPr>
        <w:t xml:space="preserve"> </w:t>
      </w:r>
      <w:r>
        <w:rPr>
          <w:lang w:bidi="ar-SA"/>
        </w:rPr>
        <w:t xml:space="preserve">moisture foods. The Code applies to a wide range of </w:t>
      </w:r>
      <w:r w:rsidR="000E4229">
        <w:rPr>
          <w:lang w:bidi="ar-SA"/>
        </w:rPr>
        <w:t>low moisture</w:t>
      </w:r>
      <w:r>
        <w:rPr>
          <w:lang w:bidi="ar-SA"/>
        </w:rPr>
        <w:t xml:space="preserve"> foods including dried fruits and vegetables (e.g. desiccated coconut), cereal-based products (e.g. breakfast cereals), dry protein products (e.g. dried dairy products and soy protein), confections (e.g. chocolate and cocoa), snacks (e.g. spice-seasoned chips/crisps), tree nuts, seeds for consumption (e.g. sesame seeds and sesame seed paste), spices and dried culinary herbs. </w:t>
      </w:r>
      <w:r w:rsidR="000C5530">
        <w:rPr>
          <w:lang w:bidi="ar-SA"/>
        </w:rPr>
        <w:t xml:space="preserve">Rapeseed protein isolate would fit in the dry protein products group. </w:t>
      </w:r>
      <w:r>
        <w:rPr>
          <w:lang w:bidi="ar-SA"/>
        </w:rPr>
        <w:t xml:space="preserve">Low moisture foods often have water activity values of </w:t>
      </w:r>
      <w:r w:rsidRPr="00023F75">
        <w:rPr>
          <w:lang w:bidi="ar-SA"/>
        </w:rPr>
        <w:t>0.85 or below</w:t>
      </w:r>
      <w:r w:rsidR="000C5530" w:rsidRPr="00023F75">
        <w:rPr>
          <w:lang w:bidi="ar-SA"/>
        </w:rPr>
        <w:t xml:space="preserve"> which is too low for f</w:t>
      </w:r>
      <w:r w:rsidRPr="00023F75">
        <w:rPr>
          <w:lang w:bidi="ar-SA"/>
        </w:rPr>
        <w:t xml:space="preserve">oodborne pathogens </w:t>
      </w:r>
      <w:r w:rsidR="000C5530" w:rsidRPr="00023F75">
        <w:rPr>
          <w:lang w:bidi="ar-SA"/>
        </w:rPr>
        <w:t>to</w:t>
      </w:r>
      <w:r w:rsidRPr="00023F75">
        <w:rPr>
          <w:lang w:bidi="ar-SA"/>
        </w:rPr>
        <w:t xml:space="preserve"> grow</w:t>
      </w:r>
      <w:r>
        <w:rPr>
          <w:lang w:bidi="ar-SA"/>
        </w:rPr>
        <w:t xml:space="preserve"> (ICMSF, 1996).</w:t>
      </w:r>
      <w:r w:rsidR="005A1289">
        <w:rPr>
          <w:lang w:bidi="ar-SA"/>
        </w:rPr>
        <w:t xml:space="preserve"> </w:t>
      </w:r>
      <w:r w:rsidR="00355616">
        <w:rPr>
          <w:lang w:bidi="ar-SA"/>
        </w:rPr>
        <w:t xml:space="preserve">Even though growth of </w:t>
      </w:r>
      <w:r w:rsidR="00355616" w:rsidRPr="00F17A2A">
        <w:rPr>
          <w:i/>
          <w:lang w:bidi="ar-SA"/>
        </w:rPr>
        <w:t>Salmonella</w:t>
      </w:r>
      <w:r w:rsidR="00355616">
        <w:rPr>
          <w:lang w:bidi="ar-SA"/>
        </w:rPr>
        <w:t xml:space="preserve"> spp. is prevented in low moisture foods, cells can survive and remain viable for long periods of time (Codex Alimentarius Commission, </w:t>
      </w:r>
      <w:r w:rsidR="00355616" w:rsidRPr="00C56B33">
        <w:rPr>
          <w:lang w:bidi="ar-SA"/>
        </w:rPr>
        <w:t>2018)</w:t>
      </w:r>
      <w:r w:rsidR="00355616">
        <w:rPr>
          <w:lang w:bidi="ar-SA"/>
        </w:rPr>
        <w:t xml:space="preserve">. </w:t>
      </w:r>
      <w:r w:rsidR="000E4229">
        <w:rPr>
          <w:lang w:bidi="ar-SA"/>
        </w:rPr>
        <w:t>The water activity for th</w:t>
      </w:r>
      <w:r w:rsidR="00AA03BF">
        <w:rPr>
          <w:lang w:bidi="ar-SA"/>
        </w:rPr>
        <w:t>e applicant’s rapeseed protein isolate is 0.2 (</w:t>
      </w:r>
      <w:r w:rsidR="00A105EB">
        <w:rPr>
          <w:lang w:bidi="ar-SA"/>
        </w:rPr>
        <w:t>refer to</w:t>
      </w:r>
      <w:r w:rsidR="00AA03BF">
        <w:rPr>
          <w:lang w:bidi="ar-SA"/>
        </w:rPr>
        <w:t xml:space="preserve"> section 3.</w:t>
      </w:r>
      <w:r w:rsidR="009F5457">
        <w:rPr>
          <w:lang w:bidi="ar-SA"/>
        </w:rPr>
        <w:t>3</w:t>
      </w:r>
      <w:r w:rsidR="00AA03BF">
        <w:rPr>
          <w:lang w:bidi="ar-SA"/>
        </w:rPr>
        <w:t>).</w:t>
      </w:r>
    </w:p>
    <w:p w14:paraId="7E2658E8" w14:textId="77777777" w:rsidR="002E507F" w:rsidRDefault="002E507F" w:rsidP="002E507F">
      <w:pPr>
        <w:rPr>
          <w:lang w:bidi="ar-SA"/>
        </w:rPr>
      </w:pPr>
    </w:p>
    <w:p w14:paraId="32F616B9" w14:textId="0911F269" w:rsidR="00F11495" w:rsidRDefault="00712F7E" w:rsidP="00F11495">
      <w:pPr>
        <w:rPr>
          <w:lang w:bidi="ar-SA"/>
        </w:rPr>
      </w:pPr>
      <w:r w:rsidRPr="00712F7E">
        <w:rPr>
          <w:lang w:bidi="ar-SA"/>
        </w:rPr>
        <w:t xml:space="preserve">The </w:t>
      </w:r>
      <w:r w:rsidR="00C817BC">
        <w:rPr>
          <w:lang w:bidi="ar-SA"/>
        </w:rPr>
        <w:t>Codex</w:t>
      </w:r>
      <w:r w:rsidR="00516ACF">
        <w:rPr>
          <w:lang w:bidi="ar-SA"/>
        </w:rPr>
        <w:t xml:space="preserve"> guidance</w:t>
      </w:r>
      <w:r w:rsidRPr="00712F7E">
        <w:rPr>
          <w:lang w:bidi="ar-SA"/>
        </w:rPr>
        <w:t xml:space="preserve"> </w:t>
      </w:r>
      <w:r w:rsidR="00B864E9">
        <w:rPr>
          <w:lang w:bidi="ar-SA"/>
        </w:rPr>
        <w:t xml:space="preserve">(Codex Alimentarius Commission, </w:t>
      </w:r>
      <w:r w:rsidR="00B864E9" w:rsidRPr="00C56B33">
        <w:rPr>
          <w:lang w:bidi="ar-SA"/>
        </w:rPr>
        <w:t>2018</w:t>
      </w:r>
      <w:r w:rsidR="00B864E9">
        <w:rPr>
          <w:lang w:bidi="ar-SA"/>
        </w:rPr>
        <w:t>)</w:t>
      </w:r>
      <w:r w:rsidR="002A41CE">
        <w:rPr>
          <w:lang w:bidi="ar-SA"/>
        </w:rPr>
        <w:t xml:space="preserve"> </w:t>
      </w:r>
      <w:r w:rsidRPr="00712F7E">
        <w:rPr>
          <w:lang w:bidi="ar-SA"/>
        </w:rPr>
        <w:t xml:space="preserve">identifies </w:t>
      </w:r>
      <w:r w:rsidR="002E507F" w:rsidRPr="00712F7E">
        <w:rPr>
          <w:i/>
          <w:lang w:bidi="ar-SA"/>
        </w:rPr>
        <w:t>Salmonella</w:t>
      </w:r>
      <w:r w:rsidR="002E507F">
        <w:rPr>
          <w:lang w:bidi="ar-SA"/>
        </w:rPr>
        <w:t xml:space="preserve"> spp. and </w:t>
      </w:r>
      <w:r w:rsidR="002E507F" w:rsidRPr="00CB4152">
        <w:rPr>
          <w:i/>
          <w:lang w:bidi="ar-SA"/>
        </w:rPr>
        <w:t>B</w:t>
      </w:r>
      <w:r w:rsidR="00940796" w:rsidRPr="00940796">
        <w:rPr>
          <w:lang w:bidi="ar-SA"/>
        </w:rPr>
        <w:t>.</w:t>
      </w:r>
      <w:r w:rsidR="002E507F">
        <w:rPr>
          <w:lang w:bidi="ar-SA"/>
        </w:rPr>
        <w:t xml:space="preserve"> </w:t>
      </w:r>
      <w:r w:rsidR="002E507F" w:rsidRPr="00712F7E">
        <w:rPr>
          <w:i/>
          <w:lang w:bidi="ar-SA"/>
        </w:rPr>
        <w:t>cereus</w:t>
      </w:r>
      <w:r w:rsidR="002E507F">
        <w:rPr>
          <w:lang w:bidi="ar-SA"/>
        </w:rPr>
        <w:t xml:space="preserve"> </w:t>
      </w:r>
      <w:r w:rsidR="00EA6AD8">
        <w:rPr>
          <w:lang w:bidi="ar-SA"/>
        </w:rPr>
        <w:t xml:space="preserve">as </w:t>
      </w:r>
      <w:r w:rsidR="002E507F">
        <w:rPr>
          <w:lang w:bidi="ar-SA"/>
        </w:rPr>
        <w:t>the primary pathogens of concern in low-moisture foods</w:t>
      </w:r>
      <w:r w:rsidR="000C5530">
        <w:rPr>
          <w:lang w:bidi="ar-SA"/>
        </w:rPr>
        <w:t>.</w:t>
      </w:r>
      <w:r w:rsidR="002E507F">
        <w:rPr>
          <w:lang w:bidi="ar-SA"/>
        </w:rPr>
        <w:t xml:space="preserve"> </w:t>
      </w:r>
      <w:r w:rsidR="000C5530">
        <w:rPr>
          <w:lang w:bidi="ar-SA"/>
        </w:rPr>
        <w:t>E</w:t>
      </w:r>
      <w:r w:rsidR="002E507F">
        <w:rPr>
          <w:lang w:bidi="ar-SA"/>
        </w:rPr>
        <w:t xml:space="preserve">pidemiological evidence highlights the importance of </w:t>
      </w:r>
      <w:r w:rsidR="002E507F" w:rsidRPr="000C5530">
        <w:rPr>
          <w:i/>
          <w:lang w:bidi="ar-SA"/>
        </w:rPr>
        <w:t>Salmonella</w:t>
      </w:r>
      <w:r w:rsidR="002E507F">
        <w:rPr>
          <w:lang w:bidi="ar-SA"/>
        </w:rPr>
        <w:t xml:space="preserve"> spp. as the cause of </w:t>
      </w:r>
      <w:r w:rsidR="000C5530">
        <w:rPr>
          <w:lang w:bidi="ar-SA"/>
        </w:rPr>
        <w:t>many</w:t>
      </w:r>
      <w:r w:rsidR="002E507F">
        <w:rPr>
          <w:lang w:bidi="ar-SA"/>
        </w:rPr>
        <w:t xml:space="preserve"> outbreaks</w:t>
      </w:r>
      <w:r w:rsidR="000C5530">
        <w:rPr>
          <w:lang w:bidi="ar-SA"/>
        </w:rPr>
        <w:t xml:space="preserve"> associated with low moisture foods</w:t>
      </w:r>
      <w:r w:rsidR="002E507F">
        <w:rPr>
          <w:lang w:bidi="ar-SA"/>
        </w:rPr>
        <w:t xml:space="preserve">. Factors that contribute to </w:t>
      </w:r>
      <w:r w:rsidR="002E507F" w:rsidRPr="00712F7E">
        <w:rPr>
          <w:i/>
          <w:lang w:bidi="ar-SA"/>
        </w:rPr>
        <w:t>Salmonella</w:t>
      </w:r>
      <w:r w:rsidR="002E507F">
        <w:rPr>
          <w:lang w:bidi="ar-SA"/>
        </w:rPr>
        <w:t xml:space="preserve"> spp. causing outbreaks are the small number of cells needed to cause illness (WHO/FAO, 2002) and that cells are capable of remaining viable in low moisture foods for long periods of time (Podolak et al. 2010).</w:t>
      </w:r>
    </w:p>
    <w:p w14:paraId="3E2FA0A6" w14:textId="77777777" w:rsidR="00F242E7" w:rsidRDefault="00F242E7" w:rsidP="00F11495">
      <w:pPr>
        <w:rPr>
          <w:lang w:bidi="ar-SA"/>
        </w:rPr>
      </w:pPr>
    </w:p>
    <w:p w14:paraId="3FA8F79B" w14:textId="591CDEB8" w:rsidR="00F11495" w:rsidRPr="00F11495" w:rsidRDefault="00D64B40" w:rsidP="00E41BD5">
      <w:pPr>
        <w:pStyle w:val="Heading2"/>
      </w:pPr>
      <w:bookmarkStart w:id="498" w:name="_Toc40279715"/>
      <w:bookmarkStart w:id="499" w:name="_Toc40282017"/>
      <w:bookmarkStart w:id="500" w:name="_Toc40282179"/>
      <w:bookmarkStart w:id="501" w:name="_Toc40360509"/>
      <w:bookmarkStart w:id="502" w:name="_Toc40353552"/>
      <w:bookmarkStart w:id="503" w:name="_Toc40366899"/>
      <w:bookmarkStart w:id="504" w:name="_Toc40368231"/>
      <w:bookmarkStart w:id="505" w:name="_Toc40382838"/>
      <w:bookmarkStart w:id="506" w:name="_Toc40431038"/>
      <w:bookmarkStart w:id="507" w:name="_Toc40432976"/>
      <w:bookmarkStart w:id="508" w:name="_Toc40447661"/>
      <w:bookmarkStart w:id="509" w:name="_Toc40441190"/>
      <w:bookmarkStart w:id="510" w:name="_Toc40448526"/>
      <w:bookmarkStart w:id="511" w:name="_Toc40449953"/>
      <w:bookmarkStart w:id="512" w:name="_Toc40968298"/>
      <w:bookmarkStart w:id="513" w:name="_Toc41051020"/>
      <w:bookmarkStart w:id="514" w:name="_Toc41046020"/>
      <w:bookmarkStart w:id="515" w:name="_Toc41053478"/>
      <w:bookmarkStart w:id="516" w:name="_Toc44592649"/>
      <w:bookmarkStart w:id="517" w:name="_Toc44596161"/>
      <w:bookmarkStart w:id="518" w:name="_Toc44604556"/>
      <w:bookmarkStart w:id="519" w:name="_Toc54169705"/>
      <w:bookmarkStart w:id="520" w:name="_Toc56089994"/>
      <w:r>
        <w:t>3.3</w:t>
      </w:r>
      <w:r w:rsidR="005021AA">
        <w:tab/>
      </w:r>
      <w:r w:rsidR="000C5530">
        <w:t>M</w:t>
      </w:r>
      <w:r w:rsidR="000C5530" w:rsidRPr="000C5530">
        <w:t>anufacturing process and controls</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3CCDFD52" w14:textId="121C07C3" w:rsidR="000C5530" w:rsidRDefault="00D7625B" w:rsidP="000C5530">
      <w:pPr>
        <w:rPr>
          <w:lang w:bidi="ar-SA"/>
        </w:rPr>
      </w:pPr>
      <w:r>
        <w:rPr>
          <w:lang w:bidi="ar-SA"/>
        </w:rPr>
        <w:t xml:space="preserve">Rapeseed protein isolate is derived via extraction from rapeseed press cake </w:t>
      </w:r>
      <w:r w:rsidRPr="00D7625B">
        <w:rPr>
          <w:lang w:bidi="ar-SA"/>
        </w:rPr>
        <w:t>that is retained after oil pressing from the</w:t>
      </w:r>
      <w:r>
        <w:rPr>
          <w:lang w:bidi="ar-SA"/>
        </w:rPr>
        <w:t xml:space="preserve"> seeds of one or more of</w:t>
      </w:r>
      <w:r w:rsidRPr="00D7625B">
        <w:rPr>
          <w:lang w:bidi="ar-SA"/>
        </w:rPr>
        <w:t xml:space="preserve"> </w:t>
      </w:r>
      <w:r w:rsidRPr="00D7625B">
        <w:rPr>
          <w:i/>
          <w:lang w:bidi="ar-SA"/>
        </w:rPr>
        <w:t>Brassica napus</w:t>
      </w:r>
      <w:r w:rsidRPr="00D7625B">
        <w:rPr>
          <w:lang w:bidi="ar-SA"/>
        </w:rPr>
        <w:t xml:space="preserve">, </w:t>
      </w:r>
      <w:r w:rsidRPr="00D7625B">
        <w:rPr>
          <w:i/>
          <w:lang w:bidi="ar-SA"/>
        </w:rPr>
        <w:t>Brassica rapa or Brassica juncea</w:t>
      </w:r>
      <w:r>
        <w:rPr>
          <w:i/>
          <w:lang w:bidi="ar-SA"/>
        </w:rPr>
        <w:t>.</w:t>
      </w:r>
      <w:r>
        <w:rPr>
          <w:lang w:bidi="ar-SA"/>
        </w:rPr>
        <w:t xml:space="preserve"> </w:t>
      </w:r>
      <w:r w:rsidR="000C5530">
        <w:rPr>
          <w:lang w:bidi="ar-SA"/>
        </w:rPr>
        <w:t>The rapeseed press cake that remains after the cleaned, flaked and conditioned seeds have been pressed to separate the oil</w:t>
      </w:r>
      <w:r w:rsidR="00CB4152">
        <w:rPr>
          <w:lang w:bidi="ar-SA"/>
        </w:rPr>
        <w:t xml:space="preserve"> is the raw material for protein production</w:t>
      </w:r>
      <w:r w:rsidR="000C5530">
        <w:rPr>
          <w:lang w:bidi="ar-SA"/>
        </w:rPr>
        <w:t xml:space="preserve">. The manufacturing process is summarised in Figure 2.1. </w:t>
      </w:r>
      <w:r w:rsidR="00710FF2">
        <w:rPr>
          <w:lang w:bidi="ar-SA"/>
        </w:rPr>
        <w:t>No solvent extraction step is included in this process</w:t>
      </w:r>
      <w:r w:rsidR="00E15D97">
        <w:rPr>
          <w:lang w:bidi="ar-SA"/>
        </w:rPr>
        <w:t xml:space="preserve">, although we note other aqueous extraction methods may use solvents </w:t>
      </w:r>
      <w:r w:rsidR="00350784">
        <w:rPr>
          <w:lang w:bidi="ar-SA"/>
        </w:rPr>
        <w:t xml:space="preserve">such as hexane </w:t>
      </w:r>
      <w:r w:rsidR="00E15D97">
        <w:rPr>
          <w:lang w:bidi="ar-SA"/>
        </w:rPr>
        <w:t>(Campbell et. al 2016</w:t>
      </w:r>
      <w:r w:rsidR="00350784">
        <w:rPr>
          <w:lang w:bidi="ar-SA"/>
        </w:rPr>
        <w:t xml:space="preserve">; </w:t>
      </w:r>
      <w:r w:rsidR="00EA6AD8">
        <w:rPr>
          <w:lang w:bidi="ar-SA"/>
        </w:rPr>
        <w:t xml:space="preserve">US </w:t>
      </w:r>
      <w:r w:rsidR="00350784">
        <w:rPr>
          <w:lang w:bidi="ar-SA"/>
        </w:rPr>
        <w:t>FDA 2010</w:t>
      </w:r>
      <w:r w:rsidR="00E15D97">
        <w:rPr>
          <w:lang w:bidi="ar-SA"/>
        </w:rPr>
        <w:t>)</w:t>
      </w:r>
      <w:r w:rsidR="00710FF2">
        <w:rPr>
          <w:lang w:bidi="ar-SA"/>
        </w:rPr>
        <w:t>.</w:t>
      </w:r>
    </w:p>
    <w:p w14:paraId="36F0B342" w14:textId="5327E6CC" w:rsidR="000C5530" w:rsidRDefault="000C5530" w:rsidP="00A2491D">
      <w:pPr>
        <w:rPr>
          <w:lang w:bidi="ar-SA"/>
        </w:rPr>
      </w:pPr>
    </w:p>
    <w:p w14:paraId="0A342A1F" w14:textId="44A47B02" w:rsidR="00710FF2" w:rsidRDefault="00DF4488" w:rsidP="00710FF2">
      <w:pPr>
        <w:rPr>
          <w:lang w:bidi="ar-SA"/>
        </w:rPr>
      </w:pPr>
      <w:r w:rsidRPr="00DF4488">
        <w:rPr>
          <w:lang w:bidi="ar-SA"/>
        </w:rPr>
        <w:t>Food Safety System Certification (FSSC) 22000 (Version 4.1)</w:t>
      </w:r>
      <w:r>
        <w:rPr>
          <w:lang w:bidi="ar-SA"/>
        </w:rPr>
        <w:t xml:space="preserve"> approval has been achieved </w:t>
      </w:r>
      <w:r w:rsidR="004B2CE6">
        <w:rPr>
          <w:lang w:bidi="ar-SA"/>
        </w:rPr>
        <w:t xml:space="preserve">by the applicant </w:t>
      </w:r>
      <w:r>
        <w:rPr>
          <w:lang w:bidi="ar-SA"/>
        </w:rPr>
        <w:t>and certified by Lloyd’s Register. The certification includes ISO 22000:2005, ISO/TS 22002-1:2009</w:t>
      </w:r>
      <w:r w:rsidR="00710FF2">
        <w:rPr>
          <w:lang w:bidi="ar-SA"/>
        </w:rPr>
        <w:t xml:space="preserve"> </w:t>
      </w:r>
      <w:r>
        <w:rPr>
          <w:lang w:bidi="ar-SA"/>
        </w:rPr>
        <w:t xml:space="preserve">and additional FSSC 22000 requirements for </w:t>
      </w:r>
      <w:r w:rsidRPr="00DF4488">
        <w:rPr>
          <w:lang w:bidi="ar-SA"/>
        </w:rPr>
        <w:t>Food Chain (Sub) Category: C IV</w:t>
      </w:r>
      <w:r w:rsidR="00CB4152">
        <w:rPr>
          <w:lang w:bidi="ar-SA"/>
        </w:rPr>
        <w:t>.</w:t>
      </w:r>
      <w:r>
        <w:rPr>
          <w:lang w:bidi="ar-SA"/>
        </w:rPr>
        <w:t xml:space="preserve"> </w:t>
      </w:r>
      <w:r w:rsidR="004B2CE6">
        <w:rPr>
          <w:lang w:bidi="ar-SA"/>
        </w:rPr>
        <w:t>FSSC</w:t>
      </w:r>
      <w:r w:rsidR="00CB4152">
        <w:rPr>
          <w:lang w:bidi="ar-SA"/>
        </w:rPr>
        <w:t xml:space="preserve"> 22000 is a food safety management system to control foodborne hazards. The certification</w:t>
      </w:r>
      <w:r>
        <w:rPr>
          <w:lang w:bidi="ar-SA"/>
        </w:rPr>
        <w:t xml:space="preserve"> is applicable for the p</w:t>
      </w:r>
      <w:r w:rsidRPr="00DF4488">
        <w:rPr>
          <w:lang w:bidi="ar-SA"/>
        </w:rPr>
        <w:t>roduction of proteins (</w:t>
      </w:r>
      <w:r w:rsidR="000E4229">
        <w:rPr>
          <w:lang w:bidi="ar-SA"/>
        </w:rPr>
        <w:t>from</w:t>
      </w:r>
      <w:r w:rsidRPr="00DF4488">
        <w:rPr>
          <w:lang w:bidi="ar-SA"/>
        </w:rPr>
        <w:t xml:space="preserve"> non-animal sources) for food use. </w:t>
      </w:r>
      <w:r w:rsidR="00CB4152">
        <w:rPr>
          <w:lang w:bidi="ar-SA"/>
        </w:rPr>
        <w:t xml:space="preserve">The applicant has </w:t>
      </w:r>
      <w:r w:rsidR="00710FF2">
        <w:rPr>
          <w:lang w:bidi="ar-SA"/>
        </w:rPr>
        <w:t xml:space="preserve">performed a HACCP analysis on the manufacturing process of </w:t>
      </w:r>
      <w:r w:rsidR="004B2CE6">
        <w:rPr>
          <w:lang w:bidi="ar-SA"/>
        </w:rPr>
        <w:t>rapeseed protein isolate</w:t>
      </w:r>
      <w:r w:rsidR="00710FF2">
        <w:rPr>
          <w:lang w:bidi="ar-SA"/>
        </w:rPr>
        <w:t>, according to EU Regulation EC/852/2004. This has been certified by an external auditor with FSSC22000 certificat</w:t>
      </w:r>
      <w:r w:rsidR="000E4229">
        <w:rPr>
          <w:lang w:bidi="ar-SA"/>
        </w:rPr>
        <w:t>ion</w:t>
      </w:r>
      <w:r w:rsidR="00710FF2">
        <w:rPr>
          <w:lang w:bidi="ar-SA"/>
        </w:rPr>
        <w:t>.</w:t>
      </w:r>
    </w:p>
    <w:p w14:paraId="2A8B104A" w14:textId="77777777" w:rsidR="00710FF2" w:rsidRDefault="00710FF2" w:rsidP="00DF4488">
      <w:pPr>
        <w:rPr>
          <w:lang w:bidi="ar-SA"/>
        </w:rPr>
      </w:pPr>
    </w:p>
    <w:p w14:paraId="42658316" w14:textId="15A55D1E" w:rsidR="00F34033" w:rsidRDefault="00CB4152" w:rsidP="00DE6A24">
      <w:pPr>
        <w:rPr>
          <w:lang w:bidi="ar-SA"/>
        </w:rPr>
      </w:pPr>
      <w:r>
        <w:rPr>
          <w:lang w:bidi="ar-SA"/>
        </w:rPr>
        <w:t>Supplier approval, e</w:t>
      </w:r>
      <w:r w:rsidR="00710FF2">
        <w:rPr>
          <w:lang w:bidi="ar-SA"/>
        </w:rPr>
        <w:t xml:space="preserve">nvironmental monitoring </w:t>
      </w:r>
      <w:r>
        <w:rPr>
          <w:lang w:bidi="ar-SA"/>
        </w:rPr>
        <w:t xml:space="preserve">and verification </w:t>
      </w:r>
      <w:r w:rsidR="00710FF2">
        <w:rPr>
          <w:lang w:bidi="ar-SA"/>
        </w:rPr>
        <w:t xml:space="preserve">programs are incorporated into the GMP practices at both production locations. </w:t>
      </w:r>
      <w:r w:rsidR="00710FF2" w:rsidRPr="00710FF2">
        <w:rPr>
          <w:i/>
          <w:lang w:bidi="ar-SA"/>
        </w:rPr>
        <w:t>E</w:t>
      </w:r>
      <w:r w:rsidR="00710FF2">
        <w:rPr>
          <w:lang w:bidi="ar-SA"/>
        </w:rPr>
        <w:t xml:space="preserve">. </w:t>
      </w:r>
      <w:r w:rsidR="00710FF2" w:rsidRPr="00710FF2">
        <w:rPr>
          <w:i/>
          <w:lang w:bidi="ar-SA"/>
        </w:rPr>
        <w:t>coli</w:t>
      </w:r>
      <w:r w:rsidR="00710FF2">
        <w:rPr>
          <w:lang w:bidi="ar-SA"/>
        </w:rPr>
        <w:t xml:space="preserve"> is monitored in the rapeseed press cake. </w:t>
      </w:r>
      <w:r w:rsidR="00350784" w:rsidRPr="00350784">
        <w:rPr>
          <w:i/>
          <w:lang w:bidi="ar-SA"/>
        </w:rPr>
        <w:t>Salmonella</w:t>
      </w:r>
      <w:r w:rsidR="00350784">
        <w:rPr>
          <w:lang w:bidi="ar-SA"/>
        </w:rPr>
        <w:t xml:space="preserve"> spp. is monitored in the incoming rapeseed press cake and in the final product. The </w:t>
      </w:r>
      <w:r w:rsidR="00350784" w:rsidRPr="00350784">
        <w:rPr>
          <w:i/>
          <w:lang w:bidi="ar-SA"/>
        </w:rPr>
        <w:t>Salmonella</w:t>
      </w:r>
      <w:r w:rsidR="00350784">
        <w:rPr>
          <w:lang w:bidi="ar-SA"/>
        </w:rPr>
        <w:t xml:space="preserve"> spp. specification in the final product is absent in 25 g. </w:t>
      </w:r>
      <w:r w:rsidR="00710FF2">
        <w:rPr>
          <w:lang w:bidi="ar-SA"/>
        </w:rPr>
        <w:t>I</w:t>
      </w:r>
      <w:r w:rsidR="00710FF2" w:rsidRPr="00710FF2">
        <w:rPr>
          <w:lang w:bidi="ar-SA"/>
        </w:rPr>
        <w:t xml:space="preserve">n-process </w:t>
      </w:r>
      <w:r w:rsidR="00710FF2">
        <w:rPr>
          <w:lang w:bidi="ar-SA"/>
        </w:rPr>
        <w:t>monitoring of microbial hygiene after each unit operation is by</w:t>
      </w:r>
      <w:r w:rsidR="00710FF2" w:rsidRPr="00710FF2">
        <w:rPr>
          <w:lang w:bidi="ar-SA"/>
        </w:rPr>
        <w:t xml:space="preserve"> </w:t>
      </w:r>
      <w:r w:rsidR="004B2CE6">
        <w:rPr>
          <w:lang w:bidi="ar-SA"/>
        </w:rPr>
        <w:t xml:space="preserve">analysis of </w:t>
      </w:r>
      <w:r w:rsidR="00710FF2" w:rsidRPr="00710FF2">
        <w:rPr>
          <w:lang w:bidi="ar-SA"/>
        </w:rPr>
        <w:t>Total Plate Count.</w:t>
      </w:r>
      <w:r w:rsidR="00710FF2">
        <w:rPr>
          <w:lang w:bidi="ar-SA"/>
        </w:rPr>
        <w:t xml:space="preserve"> </w:t>
      </w:r>
      <w:r w:rsidRPr="00DE6A24">
        <w:rPr>
          <w:i/>
          <w:lang w:bidi="ar-SA"/>
        </w:rPr>
        <w:t>B</w:t>
      </w:r>
      <w:r w:rsidR="008659D6" w:rsidRPr="008659D6">
        <w:rPr>
          <w:lang w:bidi="ar-SA"/>
        </w:rPr>
        <w:t>.</w:t>
      </w:r>
      <w:r>
        <w:rPr>
          <w:lang w:bidi="ar-SA"/>
        </w:rPr>
        <w:t xml:space="preserve"> </w:t>
      </w:r>
      <w:r w:rsidRPr="00DE6A24">
        <w:rPr>
          <w:i/>
          <w:lang w:bidi="ar-SA"/>
        </w:rPr>
        <w:t>cereus</w:t>
      </w:r>
      <w:r>
        <w:rPr>
          <w:lang w:bidi="ar-SA"/>
        </w:rPr>
        <w:t xml:space="preserve"> levels are also determined in the final product according to the method ISO 7932: 2004. The product specification for </w:t>
      </w:r>
      <w:r w:rsidRPr="00DE6A24">
        <w:rPr>
          <w:i/>
          <w:lang w:bidi="ar-SA"/>
        </w:rPr>
        <w:t>B</w:t>
      </w:r>
      <w:r>
        <w:rPr>
          <w:lang w:bidi="ar-SA"/>
        </w:rPr>
        <w:t xml:space="preserve">. </w:t>
      </w:r>
      <w:r w:rsidRPr="00DE6A24">
        <w:rPr>
          <w:i/>
          <w:lang w:bidi="ar-SA"/>
        </w:rPr>
        <w:t>cereus</w:t>
      </w:r>
      <w:r>
        <w:rPr>
          <w:lang w:bidi="ar-SA"/>
        </w:rPr>
        <w:t xml:space="preserve"> is ≤100 cfu/g. The water activity of the final product is 0.2 (n = 3 samples). </w:t>
      </w:r>
      <w:r w:rsidR="00710FF2">
        <w:rPr>
          <w:lang w:bidi="ar-SA"/>
        </w:rPr>
        <w:t>Process parameters including temperature and throughput time are monitored to control microbial growth.</w:t>
      </w:r>
      <w:r w:rsidR="00DE6A24">
        <w:rPr>
          <w:lang w:bidi="ar-SA"/>
        </w:rPr>
        <w:t xml:space="preserve"> </w:t>
      </w:r>
    </w:p>
    <w:p w14:paraId="6D39D2AC" w14:textId="2363D79D" w:rsidR="000F2D15" w:rsidRPr="000F2D15" w:rsidRDefault="00D64B40" w:rsidP="00E41BD5">
      <w:pPr>
        <w:pStyle w:val="Heading2"/>
      </w:pPr>
      <w:bookmarkStart w:id="521" w:name="_Toc40366900"/>
      <w:bookmarkStart w:id="522" w:name="_Toc40368232"/>
      <w:bookmarkStart w:id="523" w:name="_Toc40382839"/>
      <w:bookmarkStart w:id="524" w:name="_Toc40360510"/>
      <w:bookmarkStart w:id="525" w:name="_Toc40353553"/>
      <w:bookmarkStart w:id="526" w:name="_Toc40431039"/>
      <w:bookmarkStart w:id="527" w:name="_Toc40432977"/>
      <w:bookmarkStart w:id="528" w:name="_Toc40447662"/>
      <w:bookmarkStart w:id="529" w:name="_Toc40441191"/>
      <w:bookmarkStart w:id="530" w:name="_Toc40448527"/>
      <w:bookmarkStart w:id="531" w:name="_Toc40449954"/>
      <w:bookmarkStart w:id="532" w:name="_Toc40968299"/>
      <w:bookmarkStart w:id="533" w:name="_Toc41051021"/>
      <w:bookmarkStart w:id="534" w:name="_Toc41046021"/>
      <w:bookmarkStart w:id="535" w:name="_Toc41053479"/>
      <w:bookmarkStart w:id="536" w:name="_Toc44592650"/>
      <w:bookmarkStart w:id="537" w:name="_Toc44596162"/>
      <w:bookmarkStart w:id="538" w:name="_Toc44604557"/>
      <w:bookmarkStart w:id="539" w:name="_Toc54169706"/>
      <w:bookmarkStart w:id="540" w:name="_Toc56089995"/>
      <w:r>
        <w:t>3.4</w:t>
      </w:r>
      <w:r w:rsidR="005021AA">
        <w:tab/>
      </w:r>
      <w:r w:rsidR="000F2D15" w:rsidRPr="000F2D15">
        <w:t xml:space="preserve">Microbiological </w:t>
      </w:r>
      <w:r w:rsidR="006A4F21">
        <w:t>risk</w:t>
      </w:r>
      <w:r w:rsidR="000F2D15" w:rsidRPr="000F2D15">
        <w:t xml:space="preserve"> assessment</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BEB00F7" w14:textId="02EBA318" w:rsidR="000F2D15" w:rsidRPr="004B2CE6" w:rsidRDefault="000F2D15" w:rsidP="000F2D15">
      <w:pPr>
        <w:autoSpaceDE w:val="0"/>
        <w:autoSpaceDN w:val="0"/>
        <w:adjustRightInd w:val="0"/>
        <w:rPr>
          <w:rFonts w:cs="Arial"/>
        </w:rPr>
      </w:pPr>
      <w:r w:rsidRPr="004B2CE6">
        <w:rPr>
          <w:rFonts w:cs="Arial"/>
        </w:rPr>
        <w:t>The food permissions cover a range of food</w:t>
      </w:r>
      <w:r w:rsidR="006A4F21">
        <w:rPr>
          <w:rFonts w:cs="Arial"/>
        </w:rPr>
        <w:t xml:space="preserve"> classes</w:t>
      </w:r>
      <w:r w:rsidRPr="004B2CE6">
        <w:rPr>
          <w:rFonts w:cs="Arial"/>
        </w:rPr>
        <w:t xml:space="preserve"> including bakery </w:t>
      </w:r>
      <w:r w:rsidR="006A4F21">
        <w:rPr>
          <w:rFonts w:cs="Arial"/>
        </w:rPr>
        <w:t>products,</w:t>
      </w:r>
      <w:r w:rsidRPr="004B2CE6">
        <w:rPr>
          <w:rFonts w:cs="Arial"/>
        </w:rPr>
        <w:t xml:space="preserve"> </w:t>
      </w:r>
      <w:r w:rsidR="006A4F21">
        <w:rPr>
          <w:rFonts w:cs="Arial"/>
        </w:rPr>
        <w:t xml:space="preserve">beverages, </w:t>
      </w:r>
      <w:r w:rsidRPr="004B2CE6">
        <w:rPr>
          <w:rFonts w:cs="Arial"/>
        </w:rPr>
        <w:t xml:space="preserve">dairy </w:t>
      </w:r>
      <w:r w:rsidR="006A4F21">
        <w:rPr>
          <w:rFonts w:cs="Arial"/>
        </w:rPr>
        <w:t xml:space="preserve">products, mixed foods, meat </w:t>
      </w:r>
      <w:r w:rsidR="003D2328">
        <w:rPr>
          <w:rFonts w:cs="Arial"/>
        </w:rPr>
        <w:t>analogues</w:t>
      </w:r>
      <w:r w:rsidR="003D2328" w:rsidRPr="004B2CE6">
        <w:rPr>
          <w:rFonts w:cs="Arial"/>
        </w:rPr>
        <w:t xml:space="preserve"> </w:t>
      </w:r>
      <w:r w:rsidRPr="004B2CE6">
        <w:rPr>
          <w:rFonts w:cs="Arial"/>
        </w:rPr>
        <w:t>and protein</w:t>
      </w:r>
      <w:r w:rsidR="006A4F21">
        <w:rPr>
          <w:rFonts w:cs="Arial"/>
        </w:rPr>
        <w:t>-based products including protein-enriched</w:t>
      </w:r>
      <w:r w:rsidRPr="004B2CE6">
        <w:rPr>
          <w:rFonts w:cs="Arial"/>
        </w:rPr>
        <w:t xml:space="preserve"> powders and bars</w:t>
      </w:r>
      <w:r w:rsidR="00586AE1">
        <w:rPr>
          <w:rFonts w:cs="Arial"/>
        </w:rPr>
        <w:t xml:space="preserve"> (Table 2.2)</w:t>
      </w:r>
      <w:r w:rsidRPr="004B2CE6">
        <w:rPr>
          <w:rFonts w:cs="Arial"/>
        </w:rPr>
        <w:t>. From a risk perspective</w:t>
      </w:r>
      <w:r w:rsidR="00586AE1">
        <w:rPr>
          <w:rFonts w:cs="Arial"/>
        </w:rPr>
        <w:t>,</w:t>
      </w:r>
      <w:r w:rsidRPr="004B2CE6">
        <w:rPr>
          <w:rFonts w:cs="Arial"/>
        </w:rPr>
        <w:t xml:space="preserve"> the greatest concern for </w:t>
      </w:r>
      <w:r w:rsidRPr="004B2CE6">
        <w:rPr>
          <w:rFonts w:cs="Arial"/>
          <w:i/>
        </w:rPr>
        <w:t>Salmonella</w:t>
      </w:r>
      <w:r w:rsidRPr="004B2CE6">
        <w:rPr>
          <w:rFonts w:cs="Arial"/>
        </w:rPr>
        <w:t xml:space="preserve"> spp. is for </w:t>
      </w:r>
      <w:r w:rsidR="00C86F4A" w:rsidRPr="006B040A">
        <w:rPr>
          <w:rFonts w:cs="Arial"/>
        </w:rPr>
        <w:t>manufactured convenience</w:t>
      </w:r>
      <w:r w:rsidRPr="006B040A">
        <w:rPr>
          <w:rFonts w:cs="Arial"/>
        </w:rPr>
        <w:t xml:space="preserve"> foods</w:t>
      </w:r>
      <w:r w:rsidRPr="004B2CE6">
        <w:rPr>
          <w:rFonts w:cs="Arial"/>
        </w:rPr>
        <w:t xml:space="preserve"> which are consumed without additional control steps</w:t>
      </w:r>
      <w:r w:rsidR="00F41B7D">
        <w:rPr>
          <w:rFonts w:cs="Arial"/>
        </w:rPr>
        <w:t>,</w:t>
      </w:r>
      <w:r w:rsidRPr="004B2CE6">
        <w:rPr>
          <w:rFonts w:cs="Arial"/>
        </w:rPr>
        <w:t xml:space="preserve"> such as cooking.</w:t>
      </w:r>
    </w:p>
    <w:p w14:paraId="4190DCD2" w14:textId="77777777" w:rsidR="000F2D15" w:rsidRPr="004B2CE6" w:rsidRDefault="000F2D15" w:rsidP="000F2D15">
      <w:pPr>
        <w:autoSpaceDE w:val="0"/>
        <w:autoSpaceDN w:val="0"/>
        <w:adjustRightInd w:val="0"/>
        <w:rPr>
          <w:rFonts w:cs="Arial"/>
        </w:rPr>
      </w:pPr>
    </w:p>
    <w:p w14:paraId="6D743D00" w14:textId="1A355254" w:rsidR="000F2D15" w:rsidRPr="004B2CE6" w:rsidRDefault="000F2D15" w:rsidP="000F2D15">
      <w:pPr>
        <w:autoSpaceDE w:val="0"/>
        <w:autoSpaceDN w:val="0"/>
        <w:adjustRightInd w:val="0"/>
        <w:rPr>
          <w:rFonts w:cs="Arial"/>
        </w:rPr>
      </w:pPr>
      <w:r w:rsidRPr="004B2CE6">
        <w:rPr>
          <w:rFonts w:cs="Arial"/>
        </w:rPr>
        <w:t xml:space="preserve">Foods such as breads and biscuits which have been baked will have received a temperature-time combination sufficient to inactivate </w:t>
      </w:r>
      <w:r w:rsidRPr="004B2CE6">
        <w:rPr>
          <w:rFonts w:cs="Arial"/>
          <w:i/>
        </w:rPr>
        <w:t>Salmonella</w:t>
      </w:r>
      <w:r w:rsidRPr="004B2CE6">
        <w:rPr>
          <w:rFonts w:cs="Arial"/>
        </w:rPr>
        <w:t xml:space="preserve"> spp. present in the rapeseed protein isolate. Amongst the other foods</w:t>
      </w:r>
      <w:r w:rsidR="00F41B7D">
        <w:rPr>
          <w:rFonts w:cs="Arial"/>
        </w:rPr>
        <w:t xml:space="preserve"> that the product could be used in</w:t>
      </w:r>
      <w:r w:rsidRPr="004B2CE6">
        <w:rPr>
          <w:rFonts w:cs="Arial"/>
        </w:rPr>
        <w:t xml:space="preserve">, protein </w:t>
      </w:r>
      <w:r w:rsidR="00586AE1">
        <w:rPr>
          <w:rFonts w:cs="Arial"/>
        </w:rPr>
        <w:t>enriched</w:t>
      </w:r>
      <w:r w:rsidRPr="004B2CE6">
        <w:rPr>
          <w:rFonts w:cs="Arial"/>
        </w:rPr>
        <w:t xml:space="preserve"> powders with </w:t>
      </w:r>
      <w:r w:rsidR="00BA50FE">
        <w:rPr>
          <w:rFonts w:cs="Arial"/>
        </w:rPr>
        <w:t xml:space="preserve">typical use levels </w:t>
      </w:r>
      <w:r w:rsidR="00F41B7D">
        <w:rPr>
          <w:rFonts w:cs="Arial"/>
        </w:rPr>
        <w:t xml:space="preserve">of </w:t>
      </w:r>
      <w:r w:rsidRPr="004B2CE6">
        <w:rPr>
          <w:rFonts w:cs="Arial"/>
        </w:rPr>
        <w:t xml:space="preserve">up to </w:t>
      </w:r>
      <w:r w:rsidR="00CE71DF">
        <w:rPr>
          <w:rFonts w:cs="Arial"/>
        </w:rPr>
        <w:t>1</w:t>
      </w:r>
      <w:r w:rsidR="00CE71DF" w:rsidRPr="004B2CE6">
        <w:rPr>
          <w:rFonts w:cs="Arial"/>
        </w:rPr>
        <w:t>0</w:t>
      </w:r>
      <w:r w:rsidRPr="004B2CE6">
        <w:rPr>
          <w:rFonts w:cs="Arial"/>
        </w:rPr>
        <w:t xml:space="preserve">% rapeseed protein isolate may fall into the </w:t>
      </w:r>
      <w:r w:rsidR="00C86F4A" w:rsidRPr="00C86F4A">
        <w:rPr>
          <w:lang w:bidi="ar-SA"/>
        </w:rPr>
        <w:t xml:space="preserve">manufactured convenience </w:t>
      </w:r>
      <w:r w:rsidRPr="004B2CE6">
        <w:rPr>
          <w:rFonts w:cs="Arial"/>
        </w:rPr>
        <w:t xml:space="preserve">food group. </w:t>
      </w:r>
      <w:r w:rsidR="00F41B7D">
        <w:rPr>
          <w:rFonts w:cs="Arial"/>
        </w:rPr>
        <w:t>Protein-enriched p</w:t>
      </w:r>
      <w:r w:rsidRPr="004B2CE6">
        <w:rPr>
          <w:rFonts w:cs="Arial"/>
        </w:rPr>
        <w:t xml:space="preserve">owders may be used in the home </w:t>
      </w:r>
      <w:r w:rsidR="00AA03BF">
        <w:rPr>
          <w:rFonts w:cs="Arial"/>
        </w:rPr>
        <w:t>or gym</w:t>
      </w:r>
      <w:r w:rsidR="00C567A1">
        <w:rPr>
          <w:rFonts w:cs="Arial"/>
        </w:rPr>
        <w:t>, for example,</w:t>
      </w:r>
      <w:r w:rsidR="00AA03BF">
        <w:rPr>
          <w:rFonts w:cs="Arial"/>
        </w:rPr>
        <w:t xml:space="preserve"> </w:t>
      </w:r>
      <w:r w:rsidRPr="004B2CE6">
        <w:rPr>
          <w:rFonts w:cs="Arial"/>
        </w:rPr>
        <w:t>as an ingredient for foods which are cooked or added to drinks and smoothies which a</w:t>
      </w:r>
      <w:r w:rsidR="00AA03BF">
        <w:rPr>
          <w:rFonts w:cs="Arial"/>
        </w:rPr>
        <w:t>re</w:t>
      </w:r>
      <w:r w:rsidRPr="004B2CE6">
        <w:rPr>
          <w:rFonts w:cs="Arial"/>
        </w:rPr>
        <w:t xml:space="preserve"> consumed without cooking. The potential for extended storage times after preparation and poor temperature control would further raise the risk from consuming these particular types of foods. Without specific information on the preparation and consumption patterns of rapeseed protein isolates </w:t>
      </w:r>
      <w:r w:rsidR="00C567A1">
        <w:rPr>
          <w:rFonts w:cs="Arial"/>
        </w:rPr>
        <w:t xml:space="preserve">it </w:t>
      </w:r>
      <w:r w:rsidRPr="004B2CE6">
        <w:rPr>
          <w:rFonts w:cs="Arial"/>
        </w:rPr>
        <w:t xml:space="preserve">is not possible to quantitatively establish the risk of illness for </w:t>
      </w:r>
      <w:r w:rsidRPr="004B2CE6">
        <w:rPr>
          <w:rFonts w:cs="Arial"/>
          <w:i/>
        </w:rPr>
        <w:t>Salmonella</w:t>
      </w:r>
      <w:r w:rsidRPr="004B2CE6">
        <w:rPr>
          <w:rFonts w:cs="Arial"/>
        </w:rPr>
        <w:t xml:space="preserve"> spp. or </w:t>
      </w:r>
      <w:r w:rsidRPr="004B2CE6">
        <w:rPr>
          <w:rFonts w:cs="Arial"/>
          <w:i/>
        </w:rPr>
        <w:t>Bacillus</w:t>
      </w:r>
      <w:r w:rsidRPr="004B2CE6">
        <w:rPr>
          <w:rFonts w:cs="Arial"/>
        </w:rPr>
        <w:t xml:space="preserve"> </w:t>
      </w:r>
      <w:r w:rsidRPr="004B2CE6">
        <w:rPr>
          <w:rFonts w:cs="Arial"/>
          <w:i/>
        </w:rPr>
        <w:t>cereus</w:t>
      </w:r>
      <w:r w:rsidRPr="004B2CE6">
        <w:rPr>
          <w:rFonts w:cs="Arial"/>
        </w:rPr>
        <w:t>.</w:t>
      </w:r>
    </w:p>
    <w:p w14:paraId="1F552B9A" w14:textId="77777777" w:rsidR="000F2D15" w:rsidRPr="004B2CE6" w:rsidRDefault="000F2D15" w:rsidP="000F2D15">
      <w:pPr>
        <w:autoSpaceDE w:val="0"/>
        <w:autoSpaceDN w:val="0"/>
        <w:adjustRightInd w:val="0"/>
        <w:rPr>
          <w:rFonts w:cs="Arial"/>
        </w:rPr>
      </w:pPr>
    </w:p>
    <w:p w14:paraId="7BE850BF" w14:textId="4F98CEF9" w:rsidR="00D32708" w:rsidRDefault="000F2D15" w:rsidP="000F2D15">
      <w:pPr>
        <w:autoSpaceDE w:val="0"/>
        <w:autoSpaceDN w:val="0"/>
        <w:adjustRightInd w:val="0"/>
        <w:rPr>
          <w:rFonts w:cs="Arial"/>
        </w:rPr>
      </w:pPr>
      <w:r w:rsidRPr="004B2CE6">
        <w:rPr>
          <w:rFonts w:cs="Arial"/>
        </w:rPr>
        <w:t xml:space="preserve">FSANZ </w:t>
      </w:r>
      <w:r w:rsidR="00BD1F3C">
        <w:rPr>
          <w:rFonts w:cs="Arial"/>
        </w:rPr>
        <w:t xml:space="preserve">screened the risk from consuming the rapeseed protein isolate using its </w:t>
      </w:r>
      <w:r w:rsidRPr="008B4B97">
        <w:rPr>
          <w:rFonts w:cs="Arial"/>
          <w:i/>
        </w:rPr>
        <w:t>Imported food risk advice framework</w:t>
      </w:r>
      <w:r w:rsidR="00BD1F3C">
        <w:rPr>
          <w:rFonts w:cs="Arial"/>
        </w:rPr>
        <w:t xml:space="preserve"> (FSANZ, 2018)</w:t>
      </w:r>
      <w:r w:rsidRPr="004B2CE6">
        <w:rPr>
          <w:rFonts w:cs="Arial"/>
        </w:rPr>
        <w:t xml:space="preserve">. The framework uses a semi-quantitative approach to assess the risk </w:t>
      </w:r>
      <w:r w:rsidR="004B2CE6" w:rsidRPr="004B2CE6">
        <w:rPr>
          <w:rFonts w:cs="Arial"/>
        </w:rPr>
        <w:t xml:space="preserve">from imported food </w:t>
      </w:r>
      <w:r w:rsidRPr="004B2CE6">
        <w:rPr>
          <w:rFonts w:cs="Arial"/>
        </w:rPr>
        <w:t xml:space="preserve">using information on infectivity, disease severity and the likelihood of exposure. </w:t>
      </w:r>
      <w:r w:rsidR="00BC6786">
        <w:rPr>
          <w:rFonts w:cs="Arial"/>
        </w:rPr>
        <w:t xml:space="preserve">Information on the characteristics, symptoms of disease and epidemiology of </w:t>
      </w:r>
      <w:r w:rsidR="00BC6786" w:rsidRPr="00BC6786">
        <w:rPr>
          <w:rFonts w:cs="Arial"/>
          <w:i/>
        </w:rPr>
        <w:t>Salmonella</w:t>
      </w:r>
      <w:r w:rsidR="00BC6786">
        <w:rPr>
          <w:rFonts w:cs="Arial"/>
        </w:rPr>
        <w:t xml:space="preserve"> spp. and </w:t>
      </w:r>
      <w:r w:rsidR="00BC6786" w:rsidRPr="00BC6786">
        <w:rPr>
          <w:rFonts w:cs="Arial"/>
          <w:i/>
        </w:rPr>
        <w:t>B</w:t>
      </w:r>
      <w:r w:rsidR="00BC6786">
        <w:rPr>
          <w:rFonts w:cs="Arial"/>
        </w:rPr>
        <w:t xml:space="preserve">. </w:t>
      </w:r>
      <w:r w:rsidR="00BC6786" w:rsidRPr="00BC6786">
        <w:rPr>
          <w:rFonts w:cs="Arial"/>
          <w:i/>
        </w:rPr>
        <w:t>cereus</w:t>
      </w:r>
      <w:r w:rsidR="00BC6786">
        <w:rPr>
          <w:rFonts w:cs="Arial"/>
        </w:rPr>
        <w:t xml:space="preserve"> can be found in the FSANZ Agents of Foodborne illness technical series (FSANZ, 2017</w:t>
      </w:r>
      <w:r w:rsidR="005D16DC">
        <w:rPr>
          <w:rFonts w:cs="Arial"/>
        </w:rPr>
        <w:t>b</w:t>
      </w:r>
      <w:r w:rsidR="00BC6786">
        <w:rPr>
          <w:rFonts w:cs="Arial"/>
        </w:rPr>
        <w:t>).</w:t>
      </w:r>
    </w:p>
    <w:p w14:paraId="736B2FD0" w14:textId="496656EE" w:rsidR="00D32708" w:rsidRDefault="00D32708" w:rsidP="000F2D15">
      <w:pPr>
        <w:autoSpaceDE w:val="0"/>
        <w:autoSpaceDN w:val="0"/>
        <w:adjustRightInd w:val="0"/>
        <w:rPr>
          <w:rFonts w:cs="Arial"/>
        </w:rPr>
      </w:pPr>
    </w:p>
    <w:p w14:paraId="59AFD62B" w14:textId="3EE1191F" w:rsidR="00BC6786" w:rsidRDefault="00BC6786" w:rsidP="0095579D">
      <w:pPr>
        <w:rPr>
          <w:rFonts w:cs="Arial"/>
        </w:rPr>
      </w:pPr>
      <w:r w:rsidRPr="00BC6786">
        <w:rPr>
          <w:rFonts w:cs="Arial"/>
        </w:rPr>
        <w:t xml:space="preserve">The </w:t>
      </w:r>
      <w:r w:rsidR="004B7B10">
        <w:rPr>
          <w:rFonts w:cs="Arial"/>
        </w:rPr>
        <w:t>h</w:t>
      </w:r>
      <w:r w:rsidR="004B7B10" w:rsidRPr="00BC6786">
        <w:rPr>
          <w:rFonts w:cs="Arial"/>
        </w:rPr>
        <w:t>azard</w:t>
      </w:r>
      <w:r w:rsidR="0095579D" w:rsidRPr="00BC6786">
        <w:rPr>
          <w:rFonts w:cs="Arial"/>
        </w:rPr>
        <w:t xml:space="preserve"> </w:t>
      </w:r>
      <w:r w:rsidRPr="00BC6786">
        <w:rPr>
          <w:rFonts w:cs="Arial"/>
        </w:rPr>
        <w:t>impact assessment considers the effects of exposure to a hazard on an</w:t>
      </w:r>
      <w:r w:rsidR="003D416B">
        <w:rPr>
          <w:rFonts w:cs="Arial"/>
        </w:rPr>
        <w:t xml:space="preserve"> </w:t>
      </w:r>
      <w:r w:rsidRPr="00BC6786">
        <w:rPr>
          <w:rFonts w:cs="Arial"/>
        </w:rPr>
        <w:t>individual. The assessment takes into account the infectivity</w:t>
      </w:r>
      <w:r w:rsidR="0095579D">
        <w:rPr>
          <w:rFonts w:cs="Arial"/>
        </w:rPr>
        <w:t xml:space="preserve">, i.e. the dose likely to cause </w:t>
      </w:r>
      <w:r w:rsidRPr="00BC6786">
        <w:rPr>
          <w:rFonts w:cs="Arial"/>
        </w:rPr>
        <w:t>illness and the severity of the consequences of that illness</w:t>
      </w:r>
      <w:r w:rsidR="0095579D">
        <w:rPr>
          <w:rFonts w:cs="Arial"/>
        </w:rPr>
        <w:t xml:space="preserve">. The results of </w:t>
      </w:r>
      <w:r w:rsidRPr="00BC6786">
        <w:rPr>
          <w:rFonts w:cs="Arial"/>
        </w:rPr>
        <w:t>these two components are then applied in a matrix and expresse</w:t>
      </w:r>
      <w:r>
        <w:rPr>
          <w:rFonts w:cs="Arial"/>
        </w:rPr>
        <w:t>d as a hazard impact score</w:t>
      </w:r>
      <w:r w:rsidRPr="00BC6786">
        <w:rPr>
          <w:rFonts w:cs="Arial"/>
        </w:rPr>
        <w:t>.</w:t>
      </w:r>
      <w:r>
        <w:rPr>
          <w:rFonts w:cs="Arial"/>
        </w:rPr>
        <w:t xml:space="preserve"> The </w:t>
      </w:r>
      <w:r w:rsidRPr="00BC6786">
        <w:rPr>
          <w:rFonts w:cs="Arial"/>
        </w:rPr>
        <w:t>microbiological infectivity</w:t>
      </w:r>
      <w:r>
        <w:rPr>
          <w:rFonts w:cs="Arial"/>
        </w:rPr>
        <w:t xml:space="preserve"> </w:t>
      </w:r>
      <w:r w:rsidR="0095579D">
        <w:rPr>
          <w:rFonts w:cs="Arial"/>
        </w:rPr>
        <w:t xml:space="preserve">for </w:t>
      </w:r>
      <w:r w:rsidR="0095579D" w:rsidRPr="0095579D">
        <w:rPr>
          <w:rFonts w:cs="Arial"/>
          <w:i/>
        </w:rPr>
        <w:t>Salmonella</w:t>
      </w:r>
      <w:r w:rsidR="0095579D">
        <w:rPr>
          <w:rFonts w:cs="Arial"/>
        </w:rPr>
        <w:t xml:space="preserve"> spp. was assigned a rating of </w:t>
      </w:r>
      <w:r w:rsidR="00487B1E">
        <w:rPr>
          <w:rFonts w:cs="Arial"/>
        </w:rPr>
        <w:t>Low/</w:t>
      </w:r>
      <w:r w:rsidR="0095579D">
        <w:rPr>
          <w:rFonts w:cs="Arial"/>
        </w:rPr>
        <w:t xml:space="preserve">Medium to account for uncertainty in the infective dose. A </w:t>
      </w:r>
      <w:r w:rsidR="004B7B10">
        <w:rPr>
          <w:rFonts w:cs="Arial"/>
        </w:rPr>
        <w:t>‘</w:t>
      </w:r>
      <w:r w:rsidR="0095579D">
        <w:rPr>
          <w:rFonts w:cs="Arial"/>
        </w:rPr>
        <w:t>Very Low</w:t>
      </w:r>
      <w:r w:rsidR="004B7B10">
        <w:rPr>
          <w:rFonts w:cs="Arial"/>
        </w:rPr>
        <w:t>’</w:t>
      </w:r>
      <w:r w:rsidR="0095579D">
        <w:rPr>
          <w:rFonts w:cs="Arial"/>
        </w:rPr>
        <w:t xml:space="preserve"> microbiological infectivity was assigned for </w:t>
      </w:r>
      <w:r w:rsidR="0095579D" w:rsidRPr="0095579D">
        <w:rPr>
          <w:rFonts w:cs="Arial"/>
          <w:i/>
        </w:rPr>
        <w:t>B</w:t>
      </w:r>
      <w:r w:rsidR="0095579D">
        <w:rPr>
          <w:rFonts w:cs="Arial"/>
        </w:rPr>
        <w:t xml:space="preserve">. </w:t>
      </w:r>
      <w:r w:rsidR="0095579D" w:rsidRPr="0095579D">
        <w:rPr>
          <w:rFonts w:cs="Arial"/>
          <w:i/>
        </w:rPr>
        <w:t>cereus</w:t>
      </w:r>
      <w:r w:rsidR="0095579D">
        <w:rPr>
          <w:rFonts w:cs="Arial"/>
        </w:rPr>
        <w:t xml:space="preserve"> as very high numbers of cells are required in foods before </w:t>
      </w:r>
      <w:r w:rsidR="004B7B10">
        <w:rPr>
          <w:rFonts w:cs="Arial"/>
        </w:rPr>
        <w:t xml:space="preserve">toxins are </w:t>
      </w:r>
      <w:r w:rsidR="004B7B10" w:rsidRPr="0095579D">
        <w:rPr>
          <w:rFonts w:cs="Arial"/>
        </w:rPr>
        <w:t>produc</w:t>
      </w:r>
      <w:r w:rsidR="004B7B10">
        <w:rPr>
          <w:rFonts w:cs="Arial"/>
        </w:rPr>
        <w:t>ed which</w:t>
      </w:r>
      <w:r w:rsidR="0095579D">
        <w:rPr>
          <w:rFonts w:cs="Arial"/>
        </w:rPr>
        <w:t xml:space="preserve"> </w:t>
      </w:r>
      <w:r w:rsidR="004B7B10">
        <w:rPr>
          <w:rFonts w:cs="Arial"/>
        </w:rPr>
        <w:t>may</w:t>
      </w:r>
      <w:r w:rsidR="0095579D">
        <w:rPr>
          <w:rFonts w:cs="Arial"/>
        </w:rPr>
        <w:t xml:space="preserve"> cause illness. The </w:t>
      </w:r>
      <w:r w:rsidR="00487B1E">
        <w:rPr>
          <w:rFonts w:cs="Arial"/>
        </w:rPr>
        <w:t xml:space="preserve">disease </w:t>
      </w:r>
      <w:r w:rsidR="0095579D">
        <w:rPr>
          <w:rFonts w:cs="Arial"/>
        </w:rPr>
        <w:t xml:space="preserve">severity was assigned as </w:t>
      </w:r>
      <w:r w:rsidR="004B7B10">
        <w:rPr>
          <w:rFonts w:cs="Arial"/>
        </w:rPr>
        <w:t>‘</w:t>
      </w:r>
      <w:r w:rsidR="0095579D">
        <w:rPr>
          <w:rFonts w:cs="Arial"/>
        </w:rPr>
        <w:t>Serious</w:t>
      </w:r>
      <w:r w:rsidR="004B7B10">
        <w:rPr>
          <w:rFonts w:cs="Arial"/>
        </w:rPr>
        <w:t>’</w:t>
      </w:r>
      <w:r w:rsidR="0095579D">
        <w:rPr>
          <w:rFonts w:cs="Arial"/>
        </w:rPr>
        <w:t xml:space="preserve"> for </w:t>
      </w:r>
      <w:r w:rsidR="0095579D" w:rsidRPr="0095579D">
        <w:rPr>
          <w:rFonts w:cs="Arial"/>
          <w:i/>
        </w:rPr>
        <w:t>Salmonella</w:t>
      </w:r>
      <w:r w:rsidR="0095579D">
        <w:rPr>
          <w:rFonts w:cs="Arial"/>
        </w:rPr>
        <w:t xml:space="preserve"> spp. and </w:t>
      </w:r>
      <w:r w:rsidR="004B7B10">
        <w:rPr>
          <w:rFonts w:cs="Arial"/>
        </w:rPr>
        <w:t>‘</w:t>
      </w:r>
      <w:r w:rsidR="0095579D">
        <w:rPr>
          <w:rFonts w:cs="Arial"/>
        </w:rPr>
        <w:t>Mild</w:t>
      </w:r>
      <w:r w:rsidR="004B7B10">
        <w:rPr>
          <w:rFonts w:cs="Arial"/>
        </w:rPr>
        <w:t>’</w:t>
      </w:r>
      <w:r w:rsidR="0095579D">
        <w:rPr>
          <w:rFonts w:cs="Arial"/>
        </w:rPr>
        <w:t xml:space="preserve"> for </w:t>
      </w:r>
      <w:r w:rsidR="0095579D" w:rsidRPr="0095579D">
        <w:rPr>
          <w:rFonts w:cs="Arial"/>
          <w:i/>
        </w:rPr>
        <w:t>B</w:t>
      </w:r>
      <w:r w:rsidR="0095579D">
        <w:rPr>
          <w:rFonts w:cs="Arial"/>
        </w:rPr>
        <w:t xml:space="preserve">. </w:t>
      </w:r>
      <w:r w:rsidR="0095579D" w:rsidRPr="0095579D">
        <w:rPr>
          <w:rFonts w:cs="Arial"/>
          <w:i/>
        </w:rPr>
        <w:t>cereus</w:t>
      </w:r>
      <w:r w:rsidR="0095579D">
        <w:rPr>
          <w:rFonts w:cs="Arial"/>
        </w:rPr>
        <w:t xml:space="preserve">. </w:t>
      </w:r>
      <w:r w:rsidR="004B7B10">
        <w:rPr>
          <w:rFonts w:cs="Arial"/>
        </w:rPr>
        <w:t>Subsequently t</w:t>
      </w:r>
      <w:r w:rsidR="0095579D">
        <w:rPr>
          <w:rFonts w:cs="Arial"/>
        </w:rPr>
        <w:t xml:space="preserve">he </w:t>
      </w:r>
      <w:r w:rsidR="00487B1E">
        <w:rPr>
          <w:rFonts w:cs="Arial"/>
        </w:rPr>
        <w:t xml:space="preserve">hazard impact scores were determined to be </w:t>
      </w:r>
      <w:r w:rsidR="004B7B10">
        <w:rPr>
          <w:rFonts w:cs="Arial"/>
        </w:rPr>
        <w:t>‘</w:t>
      </w:r>
      <w:r w:rsidR="00487B1E">
        <w:rPr>
          <w:rFonts w:cs="Arial"/>
        </w:rPr>
        <w:t>Medium/High</w:t>
      </w:r>
      <w:r w:rsidR="004B7B10">
        <w:rPr>
          <w:rFonts w:cs="Arial"/>
        </w:rPr>
        <w:t>’</w:t>
      </w:r>
      <w:r w:rsidR="00487B1E">
        <w:rPr>
          <w:rFonts w:cs="Arial"/>
        </w:rPr>
        <w:t xml:space="preserve"> for </w:t>
      </w:r>
      <w:r w:rsidR="00487B1E" w:rsidRPr="00487B1E">
        <w:rPr>
          <w:rFonts w:cs="Arial"/>
          <w:i/>
        </w:rPr>
        <w:t>Salmonella</w:t>
      </w:r>
      <w:r w:rsidR="00487B1E">
        <w:rPr>
          <w:rFonts w:cs="Arial"/>
        </w:rPr>
        <w:t xml:space="preserve"> spp. and </w:t>
      </w:r>
      <w:r w:rsidR="004B7B10">
        <w:rPr>
          <w:rFonts w:cs="Arial"/>
        </w:rPr>
        <w:t>‘</w:t>
      </w:r>
      <w:r w:rsidR="00487B1E">
        <w:rPr>
          <w:rFonts w:cs="Arial"/>
        </w:rPr>
        <w:t>Very Low</w:t>
      </w:r>
      <w:r w:rsidR="004B7B10">
        <w:rPr>
          <w:rFonts w:cs="Arial"/>
        </w:rPr>
        <w:t>’</w:t>
      </w:r>
      <w:r w:rsidR="00487B1E">
        <w:rPr>
          <w:rFonts w:cs="Arial"/>
        </w:rPr>
        <w:t xml:space="preserve"> for </w:t>
      </w:r>
      <w:r w:rsidR="00487B1E" w:rsidRPr="00487B1E">
        <w:rPr>
          <w:rFonts w:cs="Arial"/>
          <w:i/>
        </w:rPr>
        <w:t>B</w:t>
      </w:r>
      <w:r w:rsidR="00487B1E">
        <w:rPr>
          <w:rFonts w:cs="Arial"/>
        </w:rPr>
        <w:t xml:space="preserve">. </w:t>
      </w:r>
      <w:r w:rsidR="00487B1E" w:rsidRPr="00487B1E">
        <w:rPr>
          <w:rFonts w:cs="Arial"/>
          <w:i/>
        </w:rPr>
        <w:t>cereus</w:t>
      </w:r>
      <w:r w:rsidR="00487B1E">
        <w:rPr>
          <w:rFonts w:cs="Arial"/>
        </w:rPr>
        <w:t>.</w:t>
      </w:r>
    </w:p>
    <w:p w14:paraId="73543DE2" w14:textId="256C8DA9" w:rsidR="0095579D" w:rsidRDefault="0095579D" w:rsidP="0095579D">
      <w:pPr>
        <w:rPr>
          <w:rFonts w:cs="Arial"/>
        </w:rPr>
      </w:pPr>
    </w:p>
    <w:p w14:paraId="50834E8E" w14:textId="1C4EBE5C" w:rsidR="00487B1E" w:rsidRDefault="00487B1E" w:rsidP="00487B1E">
      <w:pPr>
        <w:rPr>
          <w:rFonts w:cs="Arial"/>
        </w:rPr>
      </w:pPr>
      <w:r w:rsidRPr="00487B1E">
        <w:rPr>
          <w:rFonts w:cs="Arial"/>
        </w:rPr>
        <w:t>The exposure assessment considers fiv</w:t>
      </w:r>
      <w:r>
        <w:rPr>
          <w:rFonts w:cs="Arial"/>
        </w:rPr>
        <w:t xml:space="preserve">e likelihood categories ranging </w:t>
      </w:r>
      <w:r w:rsidRPr="00487B1E">
        <w:rPr>
          <w:rFonts w:cs="Arial"/>
        </w:rPr>
        <w:t xml:space="preserve">from </w:t>
      </w:r>
      <w:r w:rsidR="004B7B10">
        <w:rPr>
          <w:rFonts w:cs="Arial"/>
        </w:rPr>
        <w:t>‘</w:t>
      </w:r>
      <w:r w:rsidRPr="00487B1E">
        <w:rPr>
          <w:rFonts w:cs="Arial"/>
        </w:rPr>
        <w:t xml:space="preserve">Very </w:t>
      </w:r>
      <w:r w:rsidR="004B7B10">
        <w:rPr>
          <w:rFonts w:cs="Arial"/>
        </w:rPr>
        <w:t>H</w:t>
      </w:r>
      <w:r w:rsidR="004B7B10" w:rsidRPr="00487B1E">
        <w:rPr>
          <w:rFonts w:cs="Arial"/>
        </w:rPr>
        <w:t>igh</w:t>
      </w:r>
      <w:r w:rsidR="004B7B10">
        <w:rPr>
          <w:rFonts w:cs="Arial"/>
        </w:rPr>
        <w:t>’</w:t>
      </w:r>
      <w:r w:rsidR="004B7B10" w:rsidRPr="00487B1E">
        <w:rPr>
          <w:rFonts w:cs="Arial"/>
        </w:rPr>
        <w:t xml:space="preserve"> </w:t>
      </w:r>
      <w:r w:rsidRPr="00487B1E">
        <w:rPr>
          <w:rFonts w:cs="Arial"/>
        </w:rPr>
        <w:t xml:space="preserve">to </w:t>
      </w:r>
      <w:r w:rsidR="004B7B10">
        <w:rPr>
          <w:rFonts w:cs="Arial"/>
        </w:rPr>
        <w:t>‘</w:t>
      </w:r>
      <w:r w:rsidRPr="00487B1E">
        <w:rPr>
          <w:rFonts w:cs="Arial"/>
        </w:rPr>
        <w:t xml:space="preserve">Very </w:t>
      </w:r>
      <w:r w:rsidR="004B7B10">
        <w:rPr>
          <w:rFonts w:cs="Arial"/>
        </w:rPr>
        <w:t>l</w:t>
      </w:r>
      <w:r w:rsidRPr="00487B1E">
        <w:rPr>
          <w:rFonts w:cs="Arial"/>
        </w:rPr>
        <w:t>ow</w:t>
      </w:r>
      <w:r w:rsidR="004B7B10">
        <w:rPr>
          <w:rFonts w:cs="Arial"/>
        </w:rPr>
        <w:t>’</w:t>
      </w:r>
      <w:r w:rsidRPr="00487B1E">
        <w:rPr>
          <w:rFonts w:cs="Arial"/>
        </w:rPr>
        <w:t>. Within each categ</w:t>
      </w:r>
      <w:r>
        <w:rPr>
          <w:rFonts w:cs="Arial"/>
        </w:rPr>
        <w:t xml:space="preserve">ory, graded descriptors allow a </w:t>
      </w:r>
      <w:r w:rsidRPr="00487B1E">
        <w:rPr>
          <w:rFonts w:cs="Arial"/>
        </w:rPr>
        <w:t>determination of the type and level of evidence required to allocate a likelihood estimate.</w:t>
      </w:r>
    </w:p>
    <w:p w14:paraId="76B24310" w14:textId="7E803D95" w:rsidR="00487B1E" w:rsidRDefault="00487B1E" w:rsidP="0095579D">
      <w:pPr>
        <w:rPr>
          <w:rFonts w:cs="Arial"/>
        </w:rPr>
      </w:pPr>
    </w:p>
    <w:p w14:paraId="5434D811" w14:textId="77777777" w:rsidR="00487B1E" w:rsidRPr="00487B1E" w:rsidRDefault="00487B1E" w:rsidP="00487B1E">
      <w:pPr>
        <w:rPr>
          <w:rFonts w:cs="Arial"/>
        </w:rPr>
      </w:pPr>
      <w:r w:rsidRPr="00487B1E">
        <w:rPr>
          <w:rFonts w:cs="Arial"/>
        </w:rPr>
        <w:t>These descriptors are based on:</w:t>
      </w:r>
    </w:p>
    <w:p w14:paraId="0A51D5A0" w14:textId="687BB362" w:rsidR="00487B1E" w:rsidRPr="00487B1E" w:rsidRDefault="00487B1E" w:rsidP="00487B1E">
      <w:pPr>
        <w:pStyle w:val="ListParagraph"/>
        <w:numPr>
          <w:ilvl w:val="0"/>
          <w:numId w:val="22"/>
        </w:numPr>
        <w:rPr>
          <w:rFonts w:cs="Arial"/>
        </w:rPr>
      </w:pPr>
      <w:r w:rsidRPr="00487B1E">
        <w:rPr>
          <w:rFonts w:cs="Arial"/>
        </w:rPr>
        <w:t>evidence that supports the hazard has caused foodborne illness</w:t>
      </w:r>
    </w:p>
    <w:p w14:paraId="5B327E42" w14:textId="567D2B7F" w:rsidR="00487B1E" w:rsidRPr="00487B1E" w:rsidRDefault="00487B1E" w:rsidP="00487B1E">
      <w:pPr>
        <w:pStyle w:val="ListParagraph"/>
        <w:numPr>
          <w:ilvl w:val="0"/>
          <w:numId w:val="22"/>
        </w:numPr>
        <w:rPr>
          <w:rFonts w:cs="Arial"/>
        </w:rPr>
      </w:pPr>
      <w:r w:rsidRPr="00487B1E">
        <w:rPr>
          <w:rFonts w:cs="Arial"/>
        </w:rPr>
        <w:t>evidence that supports the hazard is present in the food and at levels sufficient to cause illness</w:t>
      </w:r>
    </w:p>
    <w:p w14:paraId="3B229AF8" w14:textId="68C6CB8E" w:rsidR="00487B1E" w:rsidRPr="00487B1E" w:rsidRDefault="00487B1E" w:rsidP="00487B1E">
      <w:pPr>
        <w:pStyle w:val="ListParagraph"/>
        <w:numPr>
          <w:ilvl w:val="0"/>
          <w:numId w:val="22"/>
        </w:numPr>
        <w:rPr>
          <w:rFonts w:cs="Arial"/>
        </w:rPr>
      </w:pPr>
      <w:r w:rsidRPr="00487B1E">
        <w:rPr>
          <w:rFonts w:cs="Arial"/>
        </w:rPr>
        <w:t>evidence that supports the food is consumed</w:t>
      </w:r>
    </w:p>
    <w:p w14:paraId="399FFE1A" w14:textId="25DFAC83" w:rsidR="00487B1E" w:rsidRPr="00487B1E" w:rsidRDefault="00487B1E" w:rsidP="00487B1E">
      <w:pPr>
        <w:pStyle w:val="ListParagraph"/>
        <w:numPr>
          <w:ilvl w:val="0"/>
          <w:numId w:val="22"/>
        </w:numPr>
        <w:rPr>
          <w:rFonts w:cs="Arial"/>
        </w:rPr>
      </w:pPr>
      <w:r w:rsidRPr="00487B1E">
        <w:rPr>
          <w:rFonts w:cs="Arial"/>
        </w:rPr>
        <w:t>effects of food processing on the hazard (increase, reduce, no effect)</w:t>
      </w:r>
    </w:p>
    <w:p w14:paraId="49E3F566" w14:textId="5597B8AA" w:rsidR="00487B1E" w:rsidRPr="00487B1E" w:rsidRDefault="00487B1E" w:rsidP="00487B1E">
      <w:pPr>
        <w:pStyle w:val="ListParagraph"/>
        <w:numPr>
          <w:ilvl w:val="0"/>
          <w:numId w:val="22"/>
        </w:numPr>
        <w:rPr>
          <w:rFonts w:cs="Arial"/>
        </w:rPr>
      </w:pPr>
      <w:r w:rsidRPr="00487B1E">
        <w:rPr>
          <w:rFonts w:cs="Arial"/>
        </w:rPr>
        <w:t>post-processing contamination</w:t>
      </w:r>
    </w:p>
    <w:p w14:paraId="18C76CC7" w14:textId="09EE57EC" w:rsidR="00487B1E" w:rsidRPr="00487B1E" w:rsidRDefault="00487B1E" w:rsidP="00487B1E">
      <w:pPr>
        <w:pStyle w:val="ListParagraph"/>
        <w:numPr>
          <w:ilvl w:val="0"/>
          <w:numId w:val="22"/>
        </w:numPr>
        <w:rPr>
          <w:rFonts w:cs="Arial"/>
        </w:rPr>
      </w:pPr>
      <w:r w:rsidRPr="00487B1E">
        <w:rPr>
          <w:rFonts w:cs="Arial"/>
        </w:rPr>
        <w:t>whether the characteristics of the food will support the growth of any contaminating pathogen.</w:t>
      </w:r>
    </w:p>
    <w:p w14:paraId="055C8F04" w14:textId="77777777" w:rsidR="00EC710A" w:rsidRDefault="00EC710A" w:rsidP="0095579D">
      <w:pPr>
        <w:rPr>
          <w:rFonts w:cs="Arial"/>
        </w:rPr>
      </w:pPr>
    </w:p>
    <w:p w14:paraId="16E8D026" w14:textId="62F7C33E" w:rsidR="00EC710A" w:rsidRDefault="00EC710A" w:rsidP="00BC6786">
      <w:pPr>
        <w:rPr>
          <w:szCs w:val="22"/>
        </w:rPr>
      </w:pPr>
      <w:r>
        <w:rPr>
          <w:rFonts w:cs="Arial"/>
        </w:rPr>
        <w:t>No evidence was found that</w:t>
      </w:r>
      <w:r w:rsidR="007360AB">
        <w:rPr>
          <w:rFonts w:cs="Arial"/>
        </w:rPr>
        <w:t xml:space="preserve"> </w:t>
      </w:r>
      <w:r w:rsidRPr="00EC710A">
        <w:rPr>
          <w:rFonts w:cs="Arial"/>
          <w:i/>
        </w:rPr>
        <w:t>Salmonella</w:t>
      </w:r>
      <w:r>
        <w:rPr>
          <w:rFonts w:cs="Arial"/>
        </w:rPr>
        <w:t xml:space="preserve"> spp. or </w:t>
      </w:r>
      <w:r w:rsidRPr="00EC710A">
        <w:rPr>
          <w:rFonts w:cs="Arial"/>
          <w:i/>
        </w:rPr>
        <w:t>B</w:t>
      </w:r>
      <w:r>
        <w:rPr>
          <w:rFonts w:cs="Arial"/>
        </w:rPr>
        <w:t xml:space="preserve">. </w:t>
      </w:r>
      <w:r w:rsidRPr="00EC710A">
        <w:rPr>
          <w:rFonts w:cs="Arial"/>
          <w:i/>
        </w:rPr>
        <w:t>cereus</w:t>
      </w:r>
      <w:r>
        <w:rPr>
          <w:rFonts w:cs="Arial"/>
        </w:rPr>
        <w:t xml:space="preserve"> is present in </w:t>
      </w:r>
      <w:r w:rsidR="00121F32">
        <w:rPr>
          <w:rFonts w:cs="Arial"/>
        </w:rPr>
        <w:t xml:space="preserve">unprocessed </w:t>
      </w:r>
      <w:r>
        <w:rPr>
          <w:rFonts w:cs="Arial"/>
        </w:rPr>
        <w:t xml:space="preserve">rapeseed </w:t>
      </w:r>
      <w:r w:rsidR="00121F32">
        <w:rPr>
          <w:rFonts w:cs="Arial"/>
        </w:rPr>
        <w:t xml:space="preserve">or rapeseed </w:t>
      </w:r>
      <w:r>
        <w:rPr>
          <w:rFonts w:cs="Arial"/>
        </w:rPr>
        <w:t>protein isolate at levels sufficient to cause foodborne illness.</w:t>
      </w:r>
      <w:r w:rsidR="007360AB">
        <w:rPr>
          <w:rFonts w:cs="Arial"/>
        </w:rPr>
        <w:t xml:space="preserve"> </w:t>
      </w:r>
      <w:r w:rsidR="00121F32">
        <w:rPr>
          <w:rFonts w:cs="Arial"/>
        </w:rPr>
        <w:t xml:space="preserve">Using information for other types of seeds may be a useful proxy for </w:t>
      </w:r>
      <w:r w:rsidR="003D416B">
        <w:rPr>
          <w:rFonts w:cs="Arial"/>
        </w:rPr>
        <w:t xml:space="preserve">unprocessed </w:t>
      </w:r>
      <w:r w:rsidR="00121F32">
        <w:rPr>
          <w:rFonts w:cs="Arial"/>
        </w:rPr>
        <w:t xml:space="preserve">rapeseed prior to oil extraction. </w:t>
      </w:r>
      <w:r w:rsidR="003D4401">
        <w:rPr>
          <w:rFonts w:cs="Arial"/>
        </w:rPr>
        <w:t xml:space="preserve">The FAO/WHO (2014) </w:t>
      </w:r>
      <w:r w:rsidR="003D4401" w:rsidRPr="003D4401">
        <w:rPr>
          <w:rFonts w:cs="Arial"/>
        </w:rPr>
        <w:t>ranking of low moisture foods</w:t>
      </w:r>
      <w:r w:rsidR="003D4401">
        <w:rPr>
          <w:rFonts w:cs="Arial"/>
        </w:rPr>
        <w:t xml:space="preserve"> report includes statistical analysis of the prevalence of bacteria</w:t>
      </w:r>
      <w:r w:rsidR="003D416B">
        <w:rPr>
          <w:rFonts w:cs="Arial"/>
        </w:rPr>
        <w:t xml:space="preserve">, including </w:t>
      </w:r>
      <w:r w:rsidR="003D416B" w:rsidRPr="003D416B">
        <w:rPr>
          <w:rFonts w:cs="Arial"/>
          <w:i/>
        </w:rPr>
        <w:t>Salmonella</w:t>
      </w:r>
      <w:r w:rsidR="003D416B">
        <w:rPr>
          <w:rFonts w:cs="Arial"/>
        </w:rPr>
        <w:t xml:space="preserve"> spp. and </w:t>
      </w:r>
      <w:r w:rsidR="003D416B" w:rsidRPr="003D416B">
        <w:rPr>
          <w:rFonts w:cs="Arial"/>
          <w:i/>
        </w:rPr>
        <w:t>B</w:t>
      </w:r>
      <w:r w:rsidR="003D416B">
        <w:rPr>
          <w:rFonts w:cs="Arial"/>
        </w:rPr>
        <w:t xml:space="preserve">. </w:t>
      </w:r>
      <w:r w:rsidR="003D416B" w:rsidRPr="003D416B">
        <w:rPr>
          <w:rFonts w:cs="Arial"/>
          <w:i/>
        </w:rPr>
        <w:t>cereus</w:t>
      </w:r>
      <w:r w:rsidR="003D4401">
        <w:rPr>
          <w:rFonts w:cs="Arial"/>
        </w:rPr>
        <w:t xml:space="preserve"> </w:t>
      </w:r>
      <w:r w:rsidR="001B77F7">
        <w:rPr>
          <w:rFonts w:cs="Arial"/>
        </w:rPr>
        <w:t>in seeds</w:t>
      </w:r>
      <w:r w:rsidR="003D4401">
        <w:rPr>
          <w:rFonts w:cs="Arial"/>
        </w:rPr>
        <w:t xml:space="preserve">. </w:t>
      </w:r>
      <w:r w:rsidR="00121F32">
        <w:rPr>
          <w:rFonts w:cs="Arial"/>
        </w:rPr>
        <w:t>A low p</w:t>
      </w:r>
      <w:r>
        <w:rPr>
          <w:rFonts w:cs="Arial"/>
        </w:rPr>
        <w:t xml:space="preserve">revalence </w:t>
      </w:r>
      <w:r w:rsidR="00121F32">
        <w:rPr>
          <w:rFonts w:cs="Arial"/>
        </w:rPr>
        <w:t xml:space="preserve">of </w:t>
      </w:r>
      <w:r w:rsidR="00121F32" w:rsidRPr="00121F32">
        <w:rPr>
          <w:rFonts w:cs="Arial"/>
          <w:i/>
        </w:rPr>
        <w:t>Salmonella</w:t>
      </w:r>
      <w:r w:rsidR="00121F32">
        <w:rPr>
          <w:rFonts w:cs="Arial"/>
        </w:rPr>
        <w:t xml:space="preserve"> spp.</w:t>
      </w:r>
      <w:r>
        <w:rPr>
          <w:rFonts w:cs="Arial"/>
        </w:rPr>
        <w:t xml:space="preserve"> </w:t>
      </w:r>
      <w:r w:rsidR="00121F32">
        <w:rPr>
          <w:rFonts w:cs="Arial"/>
        </w:rPr>
        <w:t>was found in seeds for consumption (</w:t>
      </w:r>
      <w:r w:rsidR="00121F32">
        <w:rPr>
          <w:szCs w:val="22"/>
        </w:rPr>
        <w:t>alfalfa, flax, hemp, karela, melon, poppy, pumpkin, and sunflower) and mixed/unspecified seeds (0.5%</w:t>
      </w:r>
      <w:r w:rsidR="00121F32">
        <w:rPr>
          <w:rFonts w:cs="Arial"/>
        </w:rPr>
        <w:t>)</w:t>
      </w:r>
      <w:r>
        <w:rPr>
          <w:rFonts w:cs="Arial"/>
        </w:rPr>
        <w:t xml:space="preserve"> </w:t>
      </w:r>
      <w:r w:rsidR="00121F32">
        <w:rPr>
          <w:rFonts w:cs="Arial"/>
        </w:rPr>
        <w:t xml:space="preserve">(FAO/WHO, </w:t>
      </w:r>
      <w:r w:rsidR="007360AB">
        <w:rPr>
          <w:rFonts w:cs="Arial"/>
        </w:rPr>
        <w:t>2014)</w:t>
      </w:r>
      <w:r w:rsidR="00121F32">
        <w:rPr>
          <w:rFonts w:cs="Arial"/>
        </w:rPr>
        <w:t xml:space="preserve">. The average prevalence of </w:t>
      </w:r>
      <w:r w:rsidR="00121F32" w:rsidRPr="001B77F7">
        <w:rPr>
          <w:rFonts w:cs="Arial"/>
          <w:i/>
        </w:rPr>
        <w:t>B</w:t>
      </w:r>
      <w:r w:rsidR="00121F32">
        <w:rPr>
          <w:rFonts w:cs="Arial"/>
        </w:rPr>
        <w:t xml:space="preserve">. </w:t>
      </w:r>
      <w:r w:rsidR="00121F32" w:rsidRPr="001B77F7">
        <w:rPr>
          <w:rFonts w:cs="Arial"/>
          <w:i/>
        </w:rPr>
        <w:t>cereus</w:t>
      </w:r>
      <w:r w:rsidR="00121F32">
        <w:rPr>
          <w:rFonts w:cs="Arial"/>
        </w:rPr>
        <w:t xml:space="preserve"> in seeds </w:t>
      </w:r>
      <w:r w:rsidR="00121F32">
        <w:rPr>
          <w:szCs w:val="22"/>
        </w:rPr>
        <w:t xml:space="preserve">(flax, karela, poppy, pumpkin, sunflower) was 7.0% based on three studies </w:t>
      </w:r>
      <w:r w:rsidR="00121F32">
        <w:rPr>
          <w:rFonts w:cs="Arial"/>
        </w:rPr>
        <w:t>(FAO/WHO, 2014)</w:t>
      </w:r>
      <w:r w:rsidR="00121F32">
        <w:rPr>
          <w:szCs w:val="22"/>
        </w:rPr>
        <w:t xml:space="preserve">. </w:t>
      </w:r>
      <w:r w:rsidR="003A29CA">
        <w:rPr>
          <w:szCs w:val="22"/>
        </w:rPr>
        <w:t>These results suggest that</w:t>
      </w:r>
      <w:r w:rsidR="001B77F7">
        <w:rPr>
          <w:szCs w:val="22"/>
        </w:rPr>
        <w:t xml:space="preserve"> a low prevalence of </w:t>
      </w:r>
      <w:r w:rsidR="001B77F7" w:rsidRPr="001B77F7">
        <w:rPr>
          <w:i/>
          <w:szCs w:val="22"/>
        </w:rPr>
        <w:t>Salmonella</w:t>
      </w:r>
      <w:r w:rsidR="001B77F7">
        <w:rPr>
          <w:szCs w:val="22"/>
        </w:rPr>
        <w:t xml:space="preserve"> spp. and </w:t>
      </w:r>
      <w:r w:rsidR="001B77F7" w:rsidRPr="001B77F7">
        <w:rPr>
          <w:i/>
          <w:szCs w:val="22"/>
        </w:rPr>
        <w:t>B</w:t>
      </w:r>
      <w:r w:rsidR="001B77F7">
        <w:rPr>
          <w:szCs w:val="22"/>
        </w:rPr>
        <w:t xml:space="preserve">. </w:t>
      </w:r>
      <w:r w:rsidR="001B77F7" w:rsidRPr="001B77F7">
        <w:rPr>
          <w:i/>
          <w:szCs w:val="22"/>
        </w:rPr>
        <w:t>cereus</w:t>
      </w:r>
      <w:r w:rsidR="001B77F7">
        <w:rPr>
          <w:szCs w:val="22"/>
        </w:rPr>
        <w:t xml:space="preserve"> could be expected in </w:t>
      </w:r>
      <w:r w:rsidR="003D416B">
        <w:rPr>
          <w:szCs w:val="22"/>
        </w:rPr>
        <w:t>unprocessed</w:t>
      </w:r>
      <w:r w:rsidR="001B77F7">
        <w:rPr>
          <w:szCs w:val="22"/>
        </w:rPr>
        <w:t xml:space="preserve"> rapeseed prior to oil extraction.</w:t>
      </w:r>
    </w:p>
    <w:p w14:paraId="560A0CD2" w14:textId="77777777" w:rsidR="00EB10CE" w:rsidRDefault="00EB10CE" w:rsidP="00BC6786"/>
    <w:p w14:paraId="69DBE824" w14:textId="4E067716" w:rsidR="003A29CA" w:rsidRDefault="003A29CA" w:rsidP="000F2D15">
      <w:pPr>
        <w:autoSpaceDE w:val="0"/>
        <w:autoSpaceDN w:val="0"/>
        <w:adjustRightInd w:val="0"/>
        <w:rPr>
          <w:rFonts w:cs="Arial"/>
        </w:rPr>
      </w:pPr>
      <w:r w:rsidRPr="001D2BC5">
        <w:rPr>
          <w:rFonts w:cs="Arial"/>
        </w:rPr>
        <w:t xml:space="preserve">The effect of processing on the levels of the hazards </w:t>
      </w:r>
      <w:r w:rsidR="004B7B10" w:rsidRPr="001D2BC5">
        <w:rPr>
          <w:rFonts w:cs="Arial"/>
        </w:rPr>
        <w:t>w</w:t>
      </w:r>
      <w:r w:rsidRPr="001D2BC5">
        <w:rPr>
          <w:rFonts w:cs="Arial"/>
        </w:rPr>
        <w:t xml:space="preserve">as assigned as </w:t>
      </w:r>
      <w:r w:rsidR="004B7B10" w:rsidRPr="001D2BC5">
        <w:rPr>
          <w:rFonts w:cs="Arial"/>
        </w:rPr>
        <w:t>‘</w:t>
      </w:r>
      <w:r w:rsidR="00D376D9" w:rsidRPr="001D2BC5">
        <w:rPr>
          <w:rFonts w:cs="Arial"/>
        </w:rPr>
        <w:t>Effective pathogen elimination/inactivation step</w:t>
      </w:r>
      <w:r w:rsidR="004B7B10" w:rsidRPr="001D2BC5">
        <w:rPr>
          <w:rFonts w:cs="Arial"/>
        </w:rPr>
        <w:t>’</w:t>
      </w:r>
      <w:r w:rsidRPr="008C16F6">
        <w:rPr>
          <w:rFonts w:cs="Arial"/>
        </w:rPr>
        <w:t xml:space="preserve">. </w:t>
      </w:r>
      <w:r w:rsidR="00D02263" w:rsidRPr="001D2BC5">
        <w:rPr>
          <w:rFonts w:cs="Arial"/>
        </w:rPr>
        <w:t xml:space="preserve">This was determined based on an assessment </w:t>
      </w:r>
      <w:r w:rsidR="007777AE" w:rsidRPr="001D2BC5">
        <w:rPr>
          <w:rFonts w:cs="Arial"/>
        </w:rPr>
        <w:t>of</w:t>
      </w:r>
      <w:r w:rsidR="00D02263" w:rsidRPr="001D2BC5">
        <w:rPr>
          <w:rFonts w:cs="Arial"/>
        </w:rPr>
        <w:t xml:space="preserve"> two key pieces of information. Firstly</w:t>
      </w:r>
      <w:r w:rsidR="006D6318" w:rsidRPr="001D2BC5">
        <w:rPr>
          <w:rFonts w:cs="Arial"/>
        </w:rPr>
        <w:t>,</w:t>
      </w:r>
      <w:r w:rsidR="00D02263" w:rsidRPr="001D2BC5">
        <w:rPr>
          <w:rFonts w:cs="Arial"/>
        </w:rPr>
        <w:t xml:space="preserve"> the temperature </w:t>
      </w:r>
      <w:r w:rsidR="001D6A8C" w:rsidRPr="001D2BC5">
        <w:rPr>
          <w:rFonts w:cs="Arial"/>
        </w:rPr>
        <w:t xml:space="preserve">of the hot water used during </w:t>
      </w:r>
      <w:r w:rsidR="00D02263" w:rsidRPr="001D2BC5">
        <w:rPr>
          <w:rFonts w:cs="Arial"/>
        </w:rPr>
        <w:t xml:space="preserve">the wet processing steps (protein extraction, solid/liquid separation, clarification, concentration and diafiltration) are maintained at temperatures </w:t>
      </w:r>
      <w:r w:rsidR="00B864E9" w:rsidRPr="001D2BC5">
        <w:rPr>
          <w:rFonts w:cs="Arial"/>
        </w:rPr>
        <w:t xml:space="preserve">at which </w:t>
      </w:r>
      <w:r w:rsidR="00D02263" w:rsidRPr="001D2BC5">
        <w:rPr>
          <w:rFonts w:cs="Arial"/>
          <w:i/>
        </w:rPr>
        <w:t>Salmonella</w:t>
      </w:r>
      <w:r w:rsidR="00D02263" w:rsidRPr="001D2BC5">
        <w:rPr>
          <w:rFonts w:cs="Arial"/>
        </w:rPr>
        <w:t xml:space="preserve"> spp. are not able to grow (DSM</w:t>
      </w:r>
      <w:r w:rsidR="00A74935" w:rsidRPr="001D2BC5">
        <w:rPr>
          <w:rFonts w:cs="Arial"/>
        </w:rPr>
        <w:t xml:space="preserve"> </w:t>
      </w:r>
      <w:r w:rsidR="00CC7A3B" w:rsidRPr="001D2BC5">
        <w:rPr>
          <w:rFonts w:cs="Arial"/>
        </w:rPr>
        <w:t>Submission, 2020</w:t>
      </w:r>
      <w:r w:rsidR="00D02263" w:rsidRPr="008C16F6">
        <w:rPr>
          <w:rFonts w:cs="Arial"/>
        </w:rPr>
        <w:t>)</w:t>
      </w:r>
      <w:r w:rsidR="007777AE" w:rsidRPr="008C16F6">
        <w:rPr>
          <w:rFonts w:cs="Arial"/>
        </w:rPr>
        <w:t xml:space="preserve"> </w:t>
      </w:r>
      <w:r w:rsidR="001D6A8C" w:rsidRPr="001D2BC5">
        <w:rPr>
          <w:rFonts w:cs="Arial"/>
        </w:rPr>
        <w:t xml:space="preserve">and would likely result in heat injury </w:t>
      </w:r>
      <w:r w:rsidR="007777AE" w:rsidRPr="001D2BC5">
        <w:rPr>
          <w:rFonts w:cs="Arial"/>
        </w:rPr>
        <w:t xml:space="preserve">and </w:t>
      </w:r>
      <w:r w:rsidR="00125888" w:rsidRPr="001D2BC5">
        <w:rPr>
          <w:rFonts w:cs="Arial"/>
        </w:rPr>
        <w:t xml:space="preserve">some </w:t>
      </w:r>
      <w:r w:rsidR="007777AE" w:rsidRPr="001D2BC5">
        <w:rPr>
          <w:rFonts w:cs="Arial"/>
        </w:rPr>
        <w:t>inactivation</w:t>
      </w:r>
      <w:r w:rsidR="00D02263" w:rsidRPr="001D2BC5">
        <w:rPr>
          <w:rFonts w:cs="Arial"/>
        </w:rPr>
        <w:t>. Secondly</w:t>
      </w:r>
      <w:r w:rsidR="006D6318" w:rsidRPr="001D2BC5">
        <w:rPr>
          <w:rFonts w:cs="Arial"/>
        </w:rPr>
        <w:t>,</w:t>
      </w:r>
      <w:r w:rsidR="00D02263" w:rsidRPr="001D2BC5">
        <w:rPr>
          <w:rFonts w:cs="Arial"/>
        </w:rPr>
        <w:t xml:space="preserve"> the additional </w:t>
      </w:r>
      <w:r w:rsidR="007777AE" w:rsidRPr="001D2BC5">
        <w:rPr>
          <w:rFonts w:cs="Arial"/>
        </w:rPr>
        <w:t>inactivation achieved during spray drying.</w:t>
      </w:r>
      <w:r w:rsidR="00D02263" w:rsidRPr="001D2BC5">
        <w:rPr>
          <w:rFonts w:cs="Arial"/>
        </w:rPr>
        <w:t xml:space="preserve"> </w:t>
      </w:r>
      <w:r w:rsidR="006D6318" w:rsidRPr="001D2BC5">
        <w:rPr>
          <w:rFonts w:cs="Arial"/>
        </w:rPr>
        <w:t>Although the contact times for spray drying are typically short (measured in seconds), the high inlet (150 –</w:t>
      </w:r>
      <w:r w:rsidR="00125888" w:rsidRPr="001D2BC5">
        <w:rPr>
          <w:rFonts w:cs="Arial"/>
        </w:rPr>
        <w:t xml:space="preserve"> 200°</w:t>
      </w:r>
      <w:r w:rsidR="006D6318" w:rsidRPr="001D2BC5">
        <w:rPr>
          <w:rFonts w:cs="Arial"/>
        </w:rPr>
        <w:t>C) and outlet temperatures (50 – 100</w:t>
      </w:r>
      <w:r w:rsidR="00125888" w:rsidRPr="001D2BC5">
        <w:rPr>
          <w:rFonts w:cs="Arial"/>
        </w:rPr>
        <w:t>°</w:t>
      </w:r>
      <w:r w:rsidR="006D6318" w:rsidRPr="001D2BC5">
        <w:rPr>
          <w:rFonts w:cs="Arial"/>
        </w:rPr>
        <w:t xml:space="preserve">C) of the hot air will result in an additional inactivation of </w:t>
      </w:r>
      <w:r w:rsidR="006D6318" w:rsidRPr="001D2BC5">
        <w:rPr>
          <w:rFonts w:cs="Arial"/>
          <w:i/>
        </w:rPr>
        <w:t>Salmonella</w:t>
      </w:r>
      <w:r w:rsidR="006D6318" w:rsidRPr="001D2BC5">
        <w:rPr>
          <w:rFonts w:cs="Arial"/>
        </w:rPr>
        <w:t xml:space="preserve"> spp. cells, if present. </w:t>
      </w:r>
      <w:r w:rsidRPr="001D2BC5">
        <w:rPr>
          <w:rFonts w:cs="Arial"/>
        </w:rPr>
        <w:t xml:space="preserve">Post-processing contamination was assigned as </w:t>
      </w:r>
      <w:r w:rsidR="004B7B10" w:rsidRPr="001D2BC5">
        <w:rPr>
          <w:rFonts w:cs="Arial"/>
        </w:rPr>
        <w:t>‘</w:t>
      </w:r>
      <w:r w:rsidRPr="001D2BC5">
        <w:rPr>
          <w:rFonts w:cs="Arial"/>
        </w:rPr>
        <w:t>No</w:t>
      </w:r>
      <w:r w:rsidR="004B7B10" w:rsidRPr="001D2BC5">
        <w:rPr>
          <w:rFonts w:cs="Arial"/>
        </w:rPr>
        <w:t xml:space="preserve"> effect’</w:t>
      </w:r>
      <w:r w:rsidRPr="001D2BC5">
        <w:rPr>
          <w:rFonts w:cs="Arial"/>
        </w:rPr>
        <w:t xml:space="preserve">. The low moisture level and water activity of the product inhibits the growth for both </w:t>
      </w:r>
      <w:r w:rsidRPr="001D2BC5">
        <w:rPr>
          <w:rFonts w:cs="Arial"/>
          <w:i/>
        </w:rPr>
        <w:t>Salmonella</w:t>
      </w:r>
      <w:r w:rsidRPr="001D2BC5">
        <w:rPr>
          <w:rFonts w:cs="Arial"/>
        </w:rPr>
        <w:t xml:space="preserve"> spp. and </w:t>
      </w:r>
      <w:r w:rsidRPr="001D2BC5">
        <w:rPr>
          <w:rFonts w:cs="Arial"/>
          <w:i/>
        </w:rPr>
        <w:t>B</w:t>
      </w:r>
      <w:r w:rsidRPr="001D2BC5">
        <w:rPr>
          <w:rFonts w:cs="Arial"/>
        </w:rPr>
        <w:t xml:space="preserve">. </w:t>
      </w:r>
      <w:r w:rsidRPr="001D2BC5">
        <w:rPr>
          <w:rFonts w:cs="Arial"/>
          <w:i/>
        </w:rPr>
        <w:t>cereus</w:t>
      </w:r>
      <w:r w:rsidRPr="001D2BC5">
        <w:rPr>
          <w:rFonts w:cs="Arial"/>
        </w:rPr>
        <w:t xml:space="preserve">. </w:t>
      </w:r>
    </w:p>
    <w:p w14:paraId="0BCF2B48" w14:textId="77777777" w:rsidR="003A29CA" w:rsidRDefault="003A29CA" w:rsidP="000F2D15">
      <w:pPr>
        <w:autoSpaceDE w:val="0"/>
        <w:autoSpaceDN w:val="0"/>
        <w:adjustRightInd w:val="0"/>
        <w:rPr>
          <w:rFonts w:cs="Arial"/>
        </w:rPr>
      </w:pPr>
    </w:p>
    <w:p w14:paraId="59B96713" w14:textId="1A27332D" w:rsidR="000F2D15" w:rsidRPr="00B04989" w:rsidRDefault="000F2D15" w:rsidP="000F2D15">
      <w:pPr>
        <w:autoSpaceDE w:val="0"/>
        <w:autoSpaceDN w:val="0"/>
        <w:adjustRightInd w:val="0"/>
        <w:rPr>
          <w:rFonts w:cs="Arial"/>
        </w:rPr>
      </w:pPr>
      <w:r w:rsidRPr="004B2CE6">
        <w:rPr>
          <w:rFonts w:cs="Arial"/>
        </w:rPr>
        <w:t>The final risk characterisation estimate is a rating on a three point scale</w:t>
      </w:r>
      <w:r w:rsidR="004B2CE6" w:rsidRPr="004B2CE6">
        <w:rPr>
          <w:rFonts w:cs="Arial"/>
        </w:rPr>
        <w:t xml:space="preserve">: </w:t>
      </w:r>
      <w:r w:rsidRPr="004B2CE6">
        <w:rPr>
          <w:rFonts w:cs="Arial"/>
        </w:rPr>
        <w:t>Low, Medium and High. As the rapeseed protein isolate is a novel food</w:t>
      </w:r>
      <w:r w:rsidR="000F2392">
        <w:rPr>
          <w:rFonts w:cs="Arial"/>
        </w:rPr>
        <w:t xml:space="preserve"> (there is no current consumption </w:t>
      </w:r>
      <w:r w:rsidR="00F9526C">
        <w:rPr>
          <w:rFonts w:cs="Arial"/>
        </w:rPr>
        <w:t>data for</w:t>
      </w:r>
      <w:r w:rsidR="000F2392">
        <w:rPr>
          <w:rFonts w:cs="Arial"/>
        </w:rPr>
        <w:t xml:space="preserve"> Australia or New Zealand)</w:t>
      </w:r>
      <w:r w:rsidRPr="004B2CE6">
        <w:rPr>
          <w:rFonts w:cs="Arial"/>
        </w:rPr>
        <w:t>, information required to determine the risk rating is limited</w:t>
      </w:r>
      <w:r w:rsidR="007B61FB">
        <w:rPr>
          <w:rFonts w:cs="Arial"/>
        </w:rPr>
        <w:t xml:space="preserve"> or not available</w:t>
      </w:r>
      <w:r w:rsidR="003A29CA">
        <w:rPr>
          <w:rFonts w:cs="Arial"/>
        </w:rPr>
        <w:t xml:space="preserve"> and proxy information was used</w:t>
      </w:r>
      <w:r w:rsidRPr="004B2CE6">
        <w:rPr>
          <w:rFonts w:cs="Arial"/>
        </w:rPr>
        <w:t xml:space="preserve">. The available information for </w:t>
      </w:r>
      <w:r w:rsidRPr="004B2CE6">
        <w:rPr>
          <w:rFonts w:cs="Arial"/>
          <w:i/>
        </w:rPr>
        <w:t>Salmonella</w:t>
      </w:r>
      <w:r w:rsidRPr="004B2CE6">
        <w:rPr>
          <w:rFonts w:cs="Arial"/>
        </w:rPr>
        <w:t xml:space="preserve"> spp. and </w:t>
      </w:r>
      <w:r w:rsidRPr="004B2CE6">
        <w:rPr>
          <w:rFonts w:cs="Arial"/>
          <w:i/>
        </w:rPr>
        <w:t>B</w:t>
      </w:r>
      <w:r w:rsidRPr="004B2CE6">
        <w:rPr>
          <w:rFonts w:cs="Arial"/>
        </w:rPr>
        <w:t xml:space="preserve">. </w:t>
      </w:r>
      <w:r w:rsidRPr="004B2CE6">
        <w:rPr>
          <w:rFonts w:cs="Arial"/>
          <w:i/>
        </w:rPr>
        <w:t>cereus</w:t>
      </w:r>
      <w:r w:rsidRPr="004B2CE6">
        <w:rPr>
          <w:rFonts w:cs="Arial"/>
        </w:rPr>
        <w:t xml:space="preserve"> were put through the </w:t>
      </w:r>
      <w:r w:rsidR="00AD407B">
        <w:rPr>
          <w:rFonts w:cs="Arial"/>
        </w:rPr>
        <w:t xml:space="preserve">risk </w:t>
      </w:r>
      <w:r w:rsidRPr="004B2CE6">
        <w:rPr>
          <w:rFonts w:cs="Arial"/>
        </w:rPr>
        <w:t>framework to determine risk levels</w:t>
      </w:r>
      <w:r w:rsidR="003A29CA">
        <w:rPr>
          <w:rFonts w:cs="Arial"/>
        </w:rPr>
        <w:t xml:space="preserve"> </w:t>
      </w:r>
      <w:r w:rsidR="000F2392">
        <w:rPr>
          <w:rFonts w:cs="Arial"/>
        </w:rPr>
        <w:t>for the final product prior to use</w:t>
      </w:r>
      <w:r w:rsidR="00F9526C">
        <w:rPr>
          <w:rFonts w:cs="Arial"/>
        </w:rPr>
        <w:t>. T</w:t>
      </w:r>
      <w:r w:rsidR="000F2392">
        <w:rPr>
          <w:rFonts w:cs="Arial"/>
        </w:rPr>
        <w:t xml:space="preserve">he </w:t>
      </w:r>
      <w:r w:rsidR="00AD407B">
        <w:rPr>
          <w:rFonts w:cs="Arial"/>
        </w:rPr>
        <w:t xml:space="preserve">resulting </w:t>
      </w:r>
      <w:r w:rsidR="000F2392">
        <w:rPr>
          <w:rFonts w:cs="Arial"/>
        </w:rPr>
        <w:t xml:space="preserve">risk characterisation estimate was </w:t>
      </w:r>
      <w:r w:rsidRPr="004B2CE6">
        <w:rPr>
          <w:rFonts w:cs="Arial"/>
        </w:rPr>
        <w:t xml:space="preserve">low risk for </w:t>
      </w:r>
      <w:r w:rsidR="00D376D9">
        <w:rPr>
          <w:rFonts w:cs="Arial"/>
        </w:rPr>
        <w:t>both</w:t>
      </w:r>
      <w:r w:rsidRPr="004B2CE6">
        <w:rPr>
          <w:rFonts w:cs="Arial"/>
        </w:rPr>
        <w:t xml:space="preserve"> </w:t>
      </w:r>
      <w:r w:rsidRPr="004B2CE6">
        <w:rPr>
          <w:rFonts w:cs="Arial"/>
          <w:i/>
        </w:rPr>
        <w:t>Salmonella</w:t>
      </w:r>
      <w:r w:rsidRPr="004B2CE6">
        <w:rPr>
          <w:rFonts w:cs="Arial"/>
        </w:rPr>
        <w:t xml:space="preserve"> spp. and </w:t>
      </w:r>
      <w:r w:rsidRPr="004B2CE6">
        <w:rPr>
          <w:rFonts w:cs="Arial"/>
          <w:i/>
        </w:rPr>
        <w:t>B</w:t>
      </w:r>
      <w:r w:rsidRPr="004B2CE6">
        <w:rPr>
          <w:rFonts w:cs="Arial"/>
        </w:rPr>
        <w:t xml:space="preserve">. </w:t>
      </w:r>
      <w:r w:rsidRPr="004B2CE6">
        <w:rPr>
          <w:rFonts w:cs="Arial"/>
          <w:i/>
        </w:rPr>
        <w:t>cereus</w:t>
      </w:r>
      <w:r w:rsidR="00F04EE7">
        <w:rPr>
          <w:rFonts w:cs="Arial"/>
        </w:rPr>
        <w:t>.</w:t>
      </w:r>
    </w:p>
    <w:p w14:paraId="307D9F61" w14:textId="3A90792C" w:rsidR="003D416B" w:rsidRDefault="003D416B" w:rsidP="000F2D15">
      <w:pPr>
        <w:autoSpaceDE w:val="0"/>
        <w:autoSpaceDN w:val="0"/>
        <w:adjustRightInd w:val="0"/>
        <w:rPr>
          <w:rFonts w:cs="Arial"/>
        </w:rPr>
      </w:pPr>
    </w:p>
    <w:p w14:paraId="5E10E2CF" w14:textId="5C6A4BE5" w:rsidR="00274F93" w:rsidRDefault="001926E4" w:rsidP="00E41BD5">
      <w:pPr>
        <w:pStyle w:val="Heading2"/>
      </w:pPr>
      <w:bookmarkStart w:id="541" w:name="_Toc40366902"/>
      <w:bookmarkStart w:id="542" w:name="_Toc40368234"/>
      <w:bookmarkStart w:id="543" w:name="_Toc40382841"/>
      <w:bookmarkStart w:id="544" w:name="_Toc40431040"/>
      <w:bookmarkStart w:id="545" w:name="_Toc40432978"/>
      <w:bookmarkStart w:id="546" w:name="_Toc40447663"/>
      <w:bookmarkStart w:id="547" w:name="_Toc40441192"/>
      <w:bookmarkStart w:id="548" w:name="_Toc40448528"/>
      <w:bookmarkStart w:id="549" w:name="_Toc40449955"/>
      <w:bookmarkStart w:id="550" w:name="_Toc40968300"/>
      <w:bookmarkStart w:id="551" w:name="_Toc41051022"/>
      <w:bookmarkStart w:id="552" w:name="_Toc41046022"/>
      <w:bookmarkStart w:id="553" w:name="_Toc41053480"/>
      <w:bookmarkStart w:id="554" w:name="_Toc44592651"/>
      <w:bookmarkStart w:id="555" w:name="_Toc44596163"/>
      <w:bookmarkStart w:id="556" w:name="_Toc44604558"/>
      <w:bookmarkStart w:id="557" w:name="_Toc54169707"/>
      <w:bookmarkStart w:id="558" w:name="_Toc56089996"/>
      <w:r>
        <w:t>3.</w:t>
      </w:r>
      <w:r w:rsidR="00FB3E38">
        <w:t>5</w:t>
      </w:r>
      <w:bookmarkStart w:id="559" w:name="_Toc40264908"/>
      <w:bookmarkStart w:id="560" w:name="_Toc40266384"/>
      <w:bookmarkStart w:id="561" w:name="_Toc40279717"/>
      <w:bookmarkStart w:id="562" w:name="_Toc40282019"/>
      <w:bookmarkStart w:id="563" w:name="_Toc40282181"/>
      <w:bookmarkStart w:id="564" w:name="_Toc40360512"/>
      <w:bookmarkStart w:id="565" w:name="_Toc40353555"/>
      <w:r w:rsidR="005021AA">
        <w:tab/>
      </w:r>
      <w:r w:rsidR="00631719">
        <w:t>Microbiological risk assessment c</w:t>
      </w:r>
      <w:r w:rsidR="00274F93">
        <w:t>onclusions</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69028F44" w14:textId="6E2C80E6" w:rsidR="009E6F92" w:rsidRPr="00A2491D" w:rsidRDefault="009A21D7" w:rsidP="00A2491D">
      <w:pPr>
        <w:rPr>
          <w:lang w:bidi="ar-SA"/>
        </w:rPr>
      </w:pPr>
      <w:r>
        <w:rPr>
          <w:lang w:bidi="ar-SA"/>
        </w:rPr>
        <w:t xml:space="preserve">FSANZ concludes that rapeseed protein isolate </w:t>
      </w:r>
      <w:r w:rsidR="001D6A8C">
        <w:rPr>
          <w:lang w:bidi="ar-SA"/>
        </w:rPr>
        <w:t>do</w:t>
      </w:r>
      <w:r w:rsidR="00E82017">
        <w:rPr>
          <w:lang w:bidi="ar-SA"/>
        </w:rPr>
        <w:t>es</w:t>
      </w:r>
      <w:r w:rsidR="001D6A8C">
        <w:rPr>
          <w:lang w:bidi="ar-SA"/>
        </w:rPr>
        <w:t xml:space="preserve"> not </w:t>
      </w:r>
      <w:r>
        <w:rPr>
          <w:lang w:bidi="ar-SA"/>
        </w:rPr>
        <w:t xml:space="preserve">pose </w:t>
      </w:r>
      <w:r w:rsidR="00C567A1">
        <w:rPr>
          <w:lang w:bidi="ar-SA"/>
        </w:rPr>
        <w:t xml:space="preserve">a </w:t>
      </w:r>
      <w:r>
        <w:rPr>
          <w:lang w:bidi="ar-SA"/>
        </w:rPr>
        <w:t>microbiological risk</w:t>
      </w:r>
      <w:r w:rsidR="00B04989">
        <w:rPr>
          <w:lang w:bidi="ar-SA"/>
        </w:rPr>
        <w:t xml:space="preserve"> for </w:t>
      </w:r>
      <w:r w:rsidR="00B04989" w:rsidRPr="00B04989">
        <w:rPr>
          <w:i/>
          <w:lang w:bidi="ar-SA"/>
        </w:rPr>
        <w:t>Salmonella</w:t>
      </w:r>
      <w:r w:rsidR="00B04989">
        <w:rPr>
          <w:lang w:bidi="ar-SA"/>
        </w:rPr>
        <w:t xml:space="preserve"> spp.</w:t>
      </w:r>
      <w:r w:rsidR="00396572">
        <w:rPr>
          <w:lang w:bidi="ar-SA"/>
        </w:rPr>
        <w:t xml:space="preserve"> in </w:t>
      </w:r>
      <w:r w:rsidR="00B04989">
        <w:rPr>
          <w:lang w:bidi="ar-SA"/>
        </w:rPr>
        <w:t xml:space="preserve">some types of </w:t>
      </w:r>
      <w:r w:rsidR="00C86F4A" w:rsidRPr="009849FB">
        <w:rPr>
          <w:lang w:bidi="ar-SA"/>
        </w:rPr>
        <w:t>manufactured convenience foods</w:t>
      </w:r>
      <w:r w:rsidR="00A007BF">
        <w:rPr>
          <w:lang w:bidi="ar-SA"/>
        </w:rPr>
        <w:t xml:space="preserve"> that do not undergo a final microbiocidal step</w:t>
      </w:r>
      <w:r w:rsidR="00B67748" w:rsidRPr="00C86F4A">
        <w:rPr>
          <w:lang w:bidi="ar-SA"/>
        </w:rPr>
        <w:t>.</w:t>
      </w:r>
      <w:r w:rsidR="00396572">
        <w:rPr>
          <w:lang w:bidi="ar-SA"/>
        </w:rPr>
        <w:t xml:space="preserve"> </w:t>
      </w:r>
      <w:r w:rsidR="00B04989">
        <w:rPr>
          <w:lang w:bidi="ar-SA"/>
        </w:rPr>
        <w:t xml:space="preserve">Rapeseed protein isolate </w:t>
      </w:r>
      <w:r w:rsidR="001D6A8C">
        <w:rPr>
          <w:lang w:bidi="ar-SA"/>
        </w:rPr>
        <w:t>may</w:t>
      </w:r>
      <w:r w:rsidR="00125888">
        <w:rPr>
          <w:lang w:bidi="ar-SA"/>
        </w:rPr>
        <w:t xml:space="preserve"> </w:t>
      </w:r>
      <w:r w:rsidR="001D6A8C">
        <w:rPr>
          <w:lang w:bidi="ar-SA"/>
        </w:rPr>
        <w:t xml:space="preserve">be </w:t>
      </w:r>
      <w:r w:rsidR="00B04989">
        <w:rPr>
          <w:lang w:bidi="ar-SA"/>
        </w:rPr>
        <w:t xml:space="preserve">a low moisture food </w:t>
      </w:r>
      <w:r w:rsidR="00F9526C">
        <w:rPr>
          <w:lang w:bidi="ar-SA"/>
        </w:rPr>
        <w:t>(</w:t>
      </w:r>
      <w:r w:rsidR="00B04989">
        <w:rPr>
          <w:lang w:bidi="ar-SA"/>
        </w:rPr>
        <w:t>as defined by the Codex Alimentarius Commission</w:t>
      </w:r>
      <w:r w:rsidR="00B864E9">
        <w:rPr>
          <w:lang w:bidi="ar-SA"/>
        </w:rPr>
        <w:t>, 2018</w:t>
      </w:r>
      <w:r w:rsidR="00F9526C">
        <w:rPr>
          <w:lang w:bidi="ar-SA"/>
        </w:rPr>
        <w:t>)</w:t>
      </w:r>
      <w:r w:rsidR="009E6E88">
        <w:rPr>
          <w:lang w:bidi="ar-SA"/>
        </w:rPr>
        <w:t>.</w:t>
      </w:r>
      <w:r w:rsidR="00F9526C">
        <w:rPr>
          <w:lang w:bidi="ar-SA"/>
        </w:rPr>
        <w:t xml:space="preserve"> </w:t>
      </w:r>
      <w:r w:rsidR="00774A2E">
        <w:rPr>
          <w:lang w:bidi="ar-SA"/>
        </w:rPr>
        <w:t>T</w:t>
      </w:r>
      <w:r w:rsidR="00B04989">
        <w:rPr>
          <w:lang w:bidi="ar-SA"/>
        </w:rPr>
        <w:t xml:space="preserve">he water activity of the product inhibits the growth of pathogens including </w:t>
      </w:r>
      <w:r w:rsidR="00B04989" w:rsidRPr="00B04989">
        <w:rPr>
          <w:i/>
          <w:lang w:bidi="ar-SA"/>
        </w:rPr>
        <w:t>Salmonella</w:t>
      </w:r>
      <w:r w:rsidR="00B04989">
        <w:rPr>
          <w:lang w:bidi="ar-SA"/>
        </w:rPr>
        <w:t xml:space="preserve"> spp. and </w:t>
      </w:r>
      <w:r w:rsidR="00B04989" w:rsidRPr="00B04989">
        <w:rPr>
          <w:i/>
          <w:lang w:bidi="ar-SA"/>
        </w:rPr>
        <w:t>B</w:t>
      </w:r>
      <w:r w:rsidR="00B04989">
        <w:rPr>
          <w:lang w:bidi="ar-SA"/>
        </w:rPr>
        <w:t xml:space="preserve">. </w:t>
      </w:r>
      <w:r w:rsidR="00B04989" w:rsidRPr="00B04989">
        <w:rPr>
          <w:i/>
          <w:lang w:bidi="ar-SA"/>
        </w:rPr>
        <w:t>cereus</w:t>
      </w:r>
      <w:r w:rsidR="00C567A1">
        <w:rPr>
          <w:lang w:bidi="ar-SA"/>
        </w:rPr>
        <w:t>, provided suitable storage conditions are maintained</w:t>
      </w:r>
      <w:r w:rsidR="003D416B">
        <w:rPr>
          <w:lang w:bidi="ar-SA"/>
        </w:rPr>
        <w:t>.</w:t>
      </w:r>
      <w:r w:rsidR="00B04989">
        <w:rPr>
          <w:lang w:bidi="ar-SA"/>
        </w:rPr>
        <w:t xml:space="preserve"> The applicant has certification in relevant food safety management system</w:t>
      </w:r>
      <w:r w:rsidR="00EB10CE">
        <w:rPr>
          <w:lang w:bidi="ar-SA"/>
        </w:rPr>
        <w:t>s</w:t>
      </w:r>
      <w:r w:rsidR="00B04989">
        <w:rPr>
          <w:lang w:bidi="ar-SA"/>
        </w:rPr>
        <w:t xml:space="preserve"> to control foodborne hazards</w:t>
      </w:r>
      <w:r w:rsidR="001D6A8C">
        <w:rPr>
          <w:lang w:bidi="ar-SA"/>
        </w:rPr>
        <w:t>.</w:t>
      </w:r>
      <w:r w:rsidR="003D299F">
        <w:rPr>
          <w:lang w:bidi="ar-SA"/>
        </w:rPr>
        <w:t xml:space="preserve"> </w:t>
      </w:r>
      <w:r w:rsidR="00B04989">
        <w:rPr>
          <w:lang w:bidi="ar-SA"/>
        </w:rPr>
        <w:t xml:space="preserve">A screening method was used to assess the risk </w:t>
      </w:r>
      <w:r w:rsidR="00B614E2">
        <w:rPr>
          <w:lang w:bidi="ar-SA"/>
        </w:rPr>
        <w:t xml:space="preserve">for </w:t>
      </w:r>
      <w:r w:rsidR="00B614E2" w:rsidRPr="00B04989">
        <w:rPr>
          <w:i/>
          <w:lang w:bidi="ar-SA"/>
        </w:rPr>
        <w:t>Salmonella</w:t>
      </w:r>
      <w:r w:rsidR="00B614E2">
        <w:rPr>
          <w:lang w:bidi="ar-SA"/>
        </w:rPr>
        <w:t xml:space="preserve"> spp. and </w:t>
      </w:r>
      <w:r w:rsidR="00B614E2" w:rsidRPr="00B04989">
        <w:rPr>
          <w:i/>
          <w:lang w:bidi="ar-SA"/>
        </w:rPr>
        <w:t>B</w:t>
      </w:r>
      <w:r w:rsidR="00B614E2">
        <w:rPr>
          <w:lang w:bidi="ar-SA"/>
        </w:rPr>
        <w:t xml:space="preserve">. </w:t>
      </w:r>
      <w:r w:rsidR="00B614E2" w:rsidRPr="00B04989">
        <w:rPr>
          <w:i/>
          <w:lang w:bidi="ar-SA"/>
        </w:rPr>
        <w:t>cereus</w:t>
      </w:r>
      <w:r w:rsidR="00B04989">
        <w:rPr>
          <w:lang w:bidi="ar-SA"/>
        </w:rPr>
        <w:t xml:space="preserve"> </w:t>
      </w:r>
      <w:r w:rsidR="00F9526C">
        <w:rPr>
          <w:lang w:bidi="ar-SA"/>
        </w:rPr>
        <w:t xml:space="preserve">when the product is used in </w:t>
      </w:r>
      <w:r w:rsidR="00F9526C" w:rsidRPr="009849FB">
        <w:rPr>
          <w:lang w:bidi="ar-SA"/>
        </w:rPr>
        <w:t>manufactured convenience foods</w:t>
      </w:r>
      <w:r w:rsidR="00B614E2">
        <w:rPr>
          <w:lang w:bidi="ar-SA"/>
        </w:rPr>
        <w:t>.</w:t>
      </w:r>
      <w:r w:rsidR="00B04989">
        <w:rPr>
          <w:lang w:bidi="ar-SA"/>
        </w:rPr>
        <w:t xml:space="preserve"> The risk levels determined were low for </w:t>
      </w:r>
      <w:r w:rsidR="006D6318">
        <w:rPr>
          <w:lang w:bidi="ar-SA"/>
        </w:rPr>
        <w:t>both</w:t>
      </w:r>
      <w:r w:rsidR="00B04989">
        <w:rPr>
          <w:lang w:bidi="ar-SA"/>
        </w:rPr>
        <w:t xml:space="preserve"> </w:t>
      </w:r>
      <w:r w:rsidR="00B04989" w:rsidRPr="00B04989">
        <w:rPr>
          <w:i/>
          <w:lang w:bidi="ar-SA"/>
        </w:rPr>
        <w:t>Salmonella</w:t>
      </w:r>
      <w:r w:rsidR="00B04989">
        <w:rPr>
          <w:lang w:bidi="ar-SA"/>
        </w:rPr>
        <w:t xml:space="preserve"> spp. and </w:t>
      </w:r>
      <w:r w:rsidR="00B04989" w:rsidRPr="00B04989">
        <w:rPr>
          <w:i/>
          <w:lang w:bidi="ar-SA"/>
        </w:rPr>
        <w:t>B</w:t>
      </w:r>
      <w:r w:rsidR="00B04989">
        <w:rPr>
          <w:lang w:bidi="ar-SA"/>
        </w:rPr>
        <w:t xml:space="preserve">. </w:t>
      </w:r>
      <w:r w:rsidR="00B04989" w:rsidRPr="00B04989">
        <w:rPr>
          <w:i/>
          <w:lang w:bidi="ar-SA"/>
        </w:rPr>
        <w:t>cereus</w:t>
      </w:r>
      <w:r w:rsidR="00B04989">
        <w:rPr>
          <w:lang w:bidi="ar-SA"/>
        </w:rPr>
        <w:t xml:space="preserve">. For </w:t>
      </w:r>
      <w:r w:rsidR="00A5408C">
        <w:rPr>
          <w:lang w:bidi="ar-SA"/>
        </w:rPr>
        <w:t xml:space="preserve">cooked </w:t>
      </w:r>
      <w:r w:rsidR="00B04989">
        <w:rPr>
          <w:lang w:bidi="ar-SA"/>
        </w:rPr>
        <w:t>foods</w:t>
      </w:r>
      <w:r w:rsidR="00A5408C">
        <w:rPr>
          <w:lang w:bidi="ar-SA"/>
        </w:rPr>
        <w:t>, such as bakery products,</w:t>
      </w:r>
      <w:r w:rsidR="00B04989">
        <w:rPr>
          <w:lang w:bidi="ar-SA"/>
        </w:rPr>
        <w:t xml:space="preserve"> where rapeseed protein isola</w:t>
      </w:r>
      <w:r w:rsidR="00A5408C">
        <w:rPr>
          <w:lang w:bidi="ar-SA"/>
        </w:rPr>
        <w:t>te is used as an ingredient</w:t>
      </w:r>
      <w:r w:rsidR="00B614E2">
        <w:rPr>
          <w:lang w:bidi="ar-SA"/>
        </w:rPr>
        <w:t>,</w:t>
      </w:r>
      <w:r w:rsidR="00A5408C">
        <w:rPr>
          <w:lang w:bidi="ar-SA"/>
        </w:rPr>
        <w:t xml:space="preserve"> the risk will </w:t>
      </w:r>
      <w:r w:rsidR="006D6318">
        <w:rPr>
          <w:lang w:bidi="ar-SA"/>
        </w:rPr>
        <w:t xml:space="preserve">also </w:t>
      </w:r>
      <w:r w:rsidR="00A5408C">
        <w:rPr>
          <w:lang w:bidi="ar-SA"/>
        </w:rPr>
        <w:t xml:space="preserve">be low for </w:t>
      </w:r>
      <w:r w:rsidR="00C567A1">
        <w:rPr>
          <w:lang w:bidi="ar-SA"/>
        </w:rPr>
        <w:t xml:space="preserve">both </w:t>
      </w:r>
      <w:r w:rsidR="00A5408C" w:rsidRPr="00A5408C">
        <w:rPr>
          <w:i/>
          <w:lang w:bidi="ar-SA"/>
        </w:rPr>
        <w:t>Salmonella</w:t>
      </w:r>
      <w:r w:rsidR="00A5408C">
        <w:rPr>
          <w:lang w:bidi="ar-SA"/>
        </w:rPr>
        <w:t xml:space="preserve"> spp</w:t>
      </w:r>
      <w:r w:rsidR="008C1442">
        <w:rPr>
          <w:lang w:bidi="ar-SA"/>
        </w:rPr>
        <w:t>.</w:t>
      </w:r>
      <w:r w:rsidR="00C567A1">
        <w:rPr>
          <w:lang w:bidi="ar-SA"/>
        </w:rPr>
        <w:t xml:space="preserve"> and</w:t>
      </w:r>
      <w:r w:rsidR="00F17A2A">
        <w:rPr>
          <w:lang w:bidi="ar-SA"/>
        </w:rPr>
        <w:t xml:space="preserve"> </w:t>
      </w:r>
      <w:r w:rsidR="00C567A1" w:rsidRPr="00B04989">
        <w:rPr>
          <w:i/>
          <w:lang w:bidi="ar-SA"/>
        </w:rPr>
        <w:t>B</w:t>
      </w:r>
      <w:r w:rsidR="00C567A1">
        <w:rPr>
          <w:lang w:bidi="ar-SA"/>
        </w:rPr>
        <w:t xml:space="preserve">. </w:t>
      </w:r>
      <w:r w:rsidR="00C567A1" w:rsidRPr="00B04989">
        <w:rPr>
          <w:i/>
          <w:lang w:bidi="ar-SA"/>
        </w:rPr>
        <w:t>cereus</w:t>
      </w:r>
      <w:r w:rsidR="00A5408C">
        <w:rPr>
          <w:lang w:bidi="ar-SA"/>
        </w:rPr>
        <w:t>.</w:t>
      </w:r>
    </w:p>
    <w:p w14:paraId="4EF9E35C" w14:textId="62661A82" w:rsidR="00EC1D81" w:rsidRPr="00B902E4" w:rsidRDefault="002A16F7" w:rsidP="00B902E4">
      <w:pPr>
        <w:pStyle w:val="Heading1"/>
        <w:numPr>
          <w:ilvl w:val="0"/>
          <w:numId w:val="4"/>
        </w:numPr>
        <w:ind w:hanging="720"/>
      </w:pPr>
      <w:bookmarkStart w:id="566" w:name="_Toc39571023"/>
      <w:bookmarkStart w:id="567" w:name="_Toc39579278"/>
      <w:bookmarkStart w:id="568" w:name="_Toc39579341"/>
      <w:bookmarkStart w:id="569" w:name="_Toc39587099"/>
      <w:bookmarkStart w:id="570" w:name="_Toc39582491"/>
      <w:bookmarkStart w:id="571" w:name="_Toc40264909"/>
      <w:bookmarkStart w:id="572" w:name="_Toc40266385"/>
      <w:bookmarkStart w:id="573" w:name="_Toc40279718"/>
      <w:bookmarkStart w:id="574" w:name="_Toc40282020"/>
      <w:bookmarkStart w:id="575" w:name="_Toc40282182"/>
      <w:bookmarkStart w:id="576" w:name="_Toc40360513"/>
      <w:bookmarkStart w:id="577" w:name="_Toc40353556"/>
      <w:bookmarkStart w:id="578" w:name="_Toc40366903"/>
      <w:bookmarkStart w:id="579" w:name="_Toc40368235"/>
      <w:bookmarkStart w:id="580" w:name="_Toc40382842"/>
      <w:bookmarkStart w:id="581" w:name="_Toc40431041"/>
      <w:bookmarkStart w:id="582" w:name="_Toc40432979"/>
      <w:bookmarkStart w:id="583" w:name="_Toc40447664"/>
      <w:bookmarkStart w:id="584" w:name="_Toc40441193"/>
      <w:bookmarkStart w:id="585" w:name="_Toc40448529"/>
      <w:bookmarkStart w:id="586" w:name="_Toc40449956"/>
      <w:bookmarkStart w:id="587" w:name="_Toc40968301"/>
      <w:bookmarkStart w:id="588" w:name="_Toc41051023"/>
      <w:bookmarkStart w:id="589" w:name="_Toc41046023"/>
      <w:bookmarkStart w:id="590" w:name="_Toc41053481"/>
      <w:bookmarkStart w:id="591" w:name="_Toc44592652"/>
      <w:bookmarkStart w:id="592" w:name="_Toc44596164"/>
      <w:bookmarkStart w:id="593" w:name="_Toc44604559"/>
      <w:bookmarkStart w:id="594" w:name="_Toc54169708"/>
      <w:bookmarkStart w:id="595" w:name="_Toc56089997"/>
      <w:r>
        <w:t>Nutrition risk assessme</w:t>
      </w:r>
      <w:bookmarkEnd w:id="566"/>
      <w:r w:rsidR="00EC1D81">
        <w:t>nt</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73849BDA" w14:textId="69B77821" w:rsidR="002A16F7" w:rsidRDefault="00E915FB" w:rsidP="00E41BD5">
      <w:pPr>
        <w:pStyle w:val="Heading2"/>
      </w:pPr>
      <w:bookmarkStart w:id="596" w:name="_Toc39571024"/>
      <w:bookmarkStart w:id="597" w:name="_Toc39579279"/>
      <w:bookmarkStart w:id="598" w:name="_Toc39579342"/>
      <w:bookmarkStart w:id="599" w:name="_Toc39587100"/>
      <w:bookmarkStart w:id="600" w:name="_Toc39582492"/>
      <w:bookmarkStart w:id="601" w:name="_Toc40264910"/>
      <w:bookmarkStart w:id="602" w:name="_Toc40266386"/>
      <w:bookmarkStart w:id="603" w:name="_Toc40279719"/>
      <w:bookmarkStart w:id="604" w:name="_Toc40282021"/>
      <w:bookmarkStart w:id="605" w:name="_Toc40282183"/>
      <w:bookmarkStart w:id="606" w:name="_Toc40360514"/>
      <w:bookmarkStart w:id="607" w:name="_Toc40353557"/>
      <w:bookmarkStart w:id="608" w:name="_Toc40366904"/>
      <w:bookmarkStart w:id="609" w:name="_Toc40368236"/>
      <w:bookmarkStart w:id="610" w:name="_Toc40382843"/>
      <w:bookmarkStart w:id="611" w:name="_Toc40431042"/>
      <w:bookmarkStart w:id="612" w:name="_Toc40432980"/>
      <w:bookmarkStart w:id="613" w:name="_Toc40447665"/>
      <w:bookmarkStart w:id="614" w:name="_Toc40441194"/>
      <w:bookmarkStart w:id="615" w:name="_Toc40448530"/>
      <w:bookmarkStart w:id="616" w:name="_Toc40449957"/>
      <w:bookmarkStart w:id="617" w:name="_Toc40968302"/>
      <w:bookmarkStart w:id="618" w:name="_Toc41051024"/>
      <w:bookmarkStart w:id="619" w:name="_Toc41046024"/>
      <w:bookmarkStart w:id="620" w:name="_Toc41053482"/>
      <w:bookmarkStart w:id="621" w:name="_Toc44592653"/>
      <w:bookmarkStart w:id="622" w:name="_Toc44596165"/>
      <w:bookmarkStart w:id="623" w:name="_Toc44604560"/>
      <w:bookmarkStart w:id="624" w:name="_Toc54169709"/>
      <w:bookmarkStart w:id="625" w:name="_Toc56089998"/>
      <w:r>
        <w:t>4</w:t>
      </w:r>
      <w:r w:rsidR="002A16F7">
        <w:t>.1</w:t>
      </w:r>
      <w:r w:rsidR="005021AA">
        <w:tab/>
      </w:r>
      <w:r w:rsidR="002A16F7">
        <w:t>Objectives for the nutrition risk assessment</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415BFCCC" w14:textId="5F1C0F84" w:rsidR="002A16F7" w:rsidRDefault="00DB05EF" w:rsidP="002A16F7">
      <w:r>
        <w:t>The application states that r</w:t>
      </w:r>
      <w:r w:rsidR="002A16F7">
        <w:t xml:space="preserve">apeseed protein isolate can be used </w:t>
      </w:r>
      <w:r w:rsidR="00E1445A">
        <w:t xml:space="preserve">in </w:t>
      </w:r>
      <w:r>
        <w:t xml:space="preserve">foods </w:t>
      </w:r>
      <w:r w:rsidR="00FC7C42">
        <w:t xml:space="preserve">as a </w:t>
      </w:r>
      <w:r w:rsidR="003D2328" w:rsidRPr="003D2328">
        <w:t>replacement</w:t>
      </w:r>
      <w:r w:rsidR="00FC7C42">
        <w:t xml:space="preserve"> for</w:t>
      </w:r>
      <w:r w:rsidR="00E1445A">
        <w:t xml:space="preserve"> </w:t>
      </w:r>
      <w:r w:rsidR="002538FB">
        <w:t xml:space="preserve">proteins </w:t>
      </w:r>
      <w:r w:rsidR="005B2097">
        <w:t xml:space="preserve">derived </w:t>
      </w:r>
      <w:r w:rsidR="006373A3">
        <w:t xml:space="preserve">from </w:t>
      </w:r>
      <w:r w:rsidR="002A16F7">
        <w:t xml:space="preserve">animal </w:t>
      </w:r>
      <w:r w:rsidR="00D43FAA">
        <w:t xml:space="preserve">sources </w:t>
      </w:r>
      <w:r w:rsidR="002A16F7">
        <w:t xml:space="preserve">(e.g. whey) or </w:t>
      </w:r>
      <w:r w:rsidR="006373A3">
        <w:t xml:space="preserve">other </w:t>
      </w:r>
      <w:r w:rsidR="00A27BA6">
        <w:t xml:space="preserve">plant </w:t>
      </w:r>
      <w:r w:rsidR="006373A3">
        <w:t>sources</w:t>
      </w:r>
      <w:r w:rsidR="00D43FAA">
        <w:t xml:space="preserve"> (e.g. soy, pea)</w:t>
      </w:r>
      <w:r w:rsidR="00224F6B">
        <w:t>, including for use in new product development</w:t>
      </w:r>
      <w:r w:rsidR="00A27BA6">
        <w:t>.</w:t>
      </w:r>
    </w:p>
    <w:p w14:paraId="00FDE8AB" w14:textId="77777777" w:rsidR="002A16F7" w:rsidRDefault="002A16F7" w:rsidP="002A16F7"/>
    <w:p w14:paraId="27D39155" w14:textId="10B27C53" w:rsidR="002A16F7" w:rsidRDefault="002A16F7" w:rsidP="002A16F7">
      <w:r>
        <w:t>The objectives for the nutrition risk assessment were</w:t>
      </w:r>
      <w:r w:rsidR="005F3F28">
        <w:t xml:space="preserve"> to</w:t>
      </w:r>
      <w:r>
        <w:t>:</w:t>
      </w:r>
    </w:p>
    <w:p w14:paraId="7A7B3FF8" w14:textId="77777777" w:rsidR="002A16F7" w:rsidRPr="009C488A" w:rsidRDefault="002A16F7" w:rsidP="002A16F7"/>
    <w:p w14:paraId="65520D7B" w14:textId="2F2FCEB9" w:rsidR="002A16F7" w:rsidRDefault="002A16F7" w:rsidP="002A16F7">
      <w:pPr>
        <w:pStyle w:val="ListParagraph"/>
        <w:numPr>
          <w:ilvl w:val="0"/>
          <w:numId w:val="11"/>
        </w:numPr>
        <w:rPr>
          <w:lang w:val="en-AU"/>
        </w:rPr>
      </w:pPr>
      <w:r>
        <w:rPr>
          <w:lang w:val="en-AU"/>
        </w:rPr>
        <w:t>Identify whether there are</w:t>
      </w:r>
      <w:r w:rsidRPr="00FF26EB">
        <w:rPr>
          <w:lang w:val="en-AU"/>
        </w:rPr>
        <w:t xml:space="preserve"> nutritional concerns for </w:t>
      </w:r>
      <w:r>
        <w:rPr>
          <w:lang w:val="en-AU"/>
        </w:rPr>
        <w:t>a</w:t>
      </w:r>
      <w:r w:rsidR="00DB3B86">
        <w:rPr>
          <w:lang w:val="en-AU"/>
        </w:rPr>
        <w:t>ny</w:t>
      </w:r>
      <w:r w:rsidRPr="00FF26EB">
        <w:rPr>
          <w:lang w:val="en-AU"/>
        </w:rPr>
        <w:t xml:space="preserve"> population group</w:t>
      </w:r>
      <w:r w:rsidR="00DB3B86">
        <w:rPr>
          <w:lang w:val="en-AU"/>
        </w:rPr>
        <w:t>s</w:t>
      </w:r>
      <w:r w:rsidRPr="00FF26EB">
        <w:rPr>
          <w:lang w:val="en-AU"/>
        </w:rPr>
        <w:t xml:space="preserve"> </w:t>
      </w:r>
      <w:r w:rsidR="00DB3B86">
        <w:rPr>
          <w:lang w:val="en-AU"/>
        </w:rPr>
        <w:t>if</w:t>
      </w:r>
      <w:r w:rsidRPr="00FF26EB">
        <w:rPr>
          <w:lang w:val="en-AU"/>
        </w:rPr>
        <w:t xml:space="preserve"> rapeseed protein isolate </w:t>
      </w:r>
      <w:r w:rsidR="00DB3B86">
        <w:rPr>
          <w:lang w:val="en-AU"/>
        </w:rPr>
        <w:t xml:space="preserve">is used </w:t>
      </w:r>
      <w:r w:rsidRPr="00FF26EB">
        <w:rPr>
          <w:lang w:val="en-AU"/>
        </w:rPr>
        <w:t xml:space="preserve">as a protein source in the proposed foods </w:t>
      </w:r>
      <w:r w:rsidR="00DB3B86">
        <w:rPr>
          <w:lang w:val="en-AU"/>
        </w:rPr>
        <w:t>at the proposed</w:t>
      </w:r>
      <w:r w:rsidR="00DB3B86" w:rsidRPr="00FF26EB">
        <w:rPr>
          <w:lang w:val="en-AU"/>
        </w:rPr>
        <w:t xml:space="preserve"> </w:t>
      </w:r>
      <w:r w:rsidRPr="00FF26EB">
        <w:rPr>
          <w:lang w:val="en-AU"/>
        </w:rPr>
        <w:t>use levels</w:t>
      </w:r>
      <w:r>
        <w:rPr>
          <w:lang w:val="en-AU"/>
        </w:rPr>
        <w:t xml:space="preserve">. </w:t>
      </w:r>
      <w:r>
        <w:t>Potential</w:t>
      </w:r>
      <w:r w:rsidRPr="00AB0707">
        <w:t xml:space="preserve"> nutritional concerns </w:t>
      </w:r>
      <w:r>
        <w:t>include</w:t>
      </w:r>
      <w:r w:rsidRPr="00AB0707">
        <w:t xml:space="preserve"> risks related to protein quality and anti</w:t>
      </w:r>
      <w:r w:rsidR="00852344">
        <w:t>-</w:t>
      </w:r>
      <w:r w:rsidRPr="00AB0707">
        <w:t>nutritional factors.</w:t>
      </w:r>
    </w:p>
    <w:p w14:paraId="17DC1E00" w14:textId="77777777" w:rsidR="002A16F7" w:rsidRPr="007B6AAB" w:rsidRDefault="002A16F7" w:rsidP="002A16F7">
      <w:pPr>
        <w:rPr>
          <w:lang w:val="en-AU"/>
        </w:rPr>
      </w:pPr>
    </w:p>
    <w:p w14:paraId="7030DB89" w14:textId="0A88C8E7" w:rsidR="002A16F7" w:rsidRDefault="0036718A" w:rsidP="00245DB2">
      <w:pPr>
        <w:pStyle w:val="ListParagraph"/>
        <w:numPr>
          <w:ilvl w:val="0"/>
          <w:numId w:val="11"/>
        </w:numPr>
        <w:rPr>
          <w:lang w:val="en-AU"/>
        </w:rPr>
      </w:pPr>
      <w:r>
        <w:t>C</w:t>
      </w:r>
      <w:r w:rsidR="002A16F7">
        <w:t xml:space="preserve">ompare the </w:t>
      </w:r>
      <w:r w:rsidR="002A16F7" w:rsidRPr="007E6AC5">
        <w:rPr>
          <w:lang w:val="en-AU"/>
        </w:rPr>
        <w:t xml:space="preserve">protein quality of rapeseed protein isolate to </w:t>
      </w:r>
      <w:r w:rsidR="00954FCC" w:rsidRPr="007E6AC5">
        <w:rPr>
          <w:lang w:val="en-AU"/>
        </w:rPr>
        <w:t xml:space="preserve">other </w:t>
      </w:r>
      <w:r w:rsidR="002A16F7" w:rsidRPr="007E6AC5">
        <w:rPr>
          <w:lang w:val="en-AU"/>
        </w:rPr>
        <w:t xml:space="preserve">protein sources from animal (e.g. whey) and </w:t>
      </w:r>
      <w:r w:rsidR="00FB6503">
        <w:rPr>
          <w:lang w:val="en-AU"/>
        </w:rPr>
        <w:t xml:space="preserve">other </w:t>
      </w:r>
      <w:r w:rsidR="002A16F7" w:rsidRPr="007E6AC5">
        <w:rPr>
          <w:lang w:val="en-AU"/>
        </w:rPr>
        <w:t>plant (e.g. soy</w:t>
      </w:r>
      <w:r w:rsidR="00852344" w:rsidRPr="007E6AC5">
        <w:rPr>
          <w:lang w:val="en-AU"/>
        </w:rPr>
        <w:t xml:space="preserve">, </w:t>
      </w:r>
      <w:r w:rsidR="00250B1D">
        <w:rPr>
          <w:lang w:val="en-AU"/>
        </w:rPr>
        <w:t>pea) protein.</w:t>
      </w:r>
    </w:p>
    <w:p w14:paraId="4D0B2561" w14:textId="77777777" w:rsidR="007E6AC5" w:rsidRPr="007E6AC5" w:rsidRDefault="007E6AC5" w:rsidP="007E6AC5">
      <w:pPr>
        <w:rPr>
          <w:lang w:val="en-AU"/>
        </w:rPr>
      </w:pPr>
    </w:p>
    <w:p w14:paraId="1D630059" w14:textId="674791A6" w:rsidR="002A16F7" w:rsidRPr="007B6AAB" w:rsidRDefault="001F1136" w:rsidP="002A16F7">
      <w:pPr>
        <w:pStyle w:val="ListParagraph"/>
        <w:numPr>
          <w:ilvl w:val="0"/>
          <w:numId w:val="11"/>
        </w:numPr>
        <w:rPr>
          <w:lang w:val="en-AU"/>
        </w:rPr>
      </w:pPr>
      <w:r>
        <w:rPr>
          <w:lang w:val="en-AU"/>
        </w:rPr>
        <w:t>Evaluate whether</w:t>
      </w:r>
      <w:r w:rsidR="0036718A">
        <w:t xml:space="preserve"> </w:t>
      </w:r>
      <w:r w:rsidR="002A16F7" w:rsidRPr="007B6AAB">
        <w:rPr>
          <w:rFonts w:cs="Arial"/>
        </w:rPr>
        <w:t>anti</w:t>
      </w:r>
      <w:r w:rsidR="00852344">
        <w:rPr>
          <w:rFonts w:cs="Arial"/>
        </w:rPr>
        <w:t>-</w:t>
      </w:r>
      <w:r w:rsidR="002A16F7" w:rsidRPr="007B6AAB">
        <w:rPr>
          <w:rFonts w:cs="Arial"/>
        </w:rPr>
        <w:t>nutritional factors</w:t>
      </w:r>
      <w:r w:rsidR="007E6AC5">
        <w:rPr>
          <w:rFonts w:cs="Arial"/>
        </w:rPr>
        <w:t xml:space="preserve"> (protease inhibi</w:t>
      </w:r>
      <w:r w:rsidR="000F3F95">
        <w:rPr>
          <w:rFonts w:cs="Arial"/>
        </w:rPr>
        <w:t xml:space="preserve">tors, phytate, and </w:t>
      </w:r>
      <w:r w:rsidR="006D2168">
        <w:rPr>
          <w:rFonts w:cs="Arial"/>
        </w:rPr>
        <w:t>phenolic substances</w:t>
      </w:r>
      <w:r w:rsidR="000F3F95">
        <w:rPr>
          <w:rFonts w:cs="Arial"/>
        </w:rPr>
        <w:t>)</w:t>
      </w:r>
      <w:r w:rsidR="002A16F7" w:rsidRPr="007B6AAB">
        <w:rPr>
          <w:rFonts w:cs="Arial"/>
        </w:rPr>
        <w:t xml:space="preserve"> in rapeseed protein isolate pose a risk to meeting the </w:t>
      </w:r>
      <w:r w:rsidR="006574BB" w:rsidRPr="007B6AAB">
        <w:rPr>
          <w:rFonts w:cs="Arial"/>
        </w:rPr>
        <w:t xml:space="preserve">nutritional requirements </w:t>
      </w:r>
      <w:r w:rsidR="006574BB">
        <w:rPr>
          <w:rFonts w:cs="Arial"/>
        </w:rPr>
        <w:t xml:space="preserve">of the </w:t>
      </w:r>
      <w:r w:rsidR="002A16F7" w:rsidRPr="007B6AAB">
        <w:rPr>
          <w:rFonts w:cs="Arial"/>
        </w:rPr>
        <w:t>general population</w:t>
      </w:r>
      <w:r w:rsidR="002A16F7" w:rsidRPr="00CE50F6">
        <w:rPr>
          <w:rFonts w:cs="Arial"/>
        </w:rPr>
        <w:t>.</w:t>
      </w:r>
    </w:p>
    <w:p w14:paraId="7A506044" w14:textId="150AEFC6" w:rsidR="002A16F7" w:rsidRDefault="00E915FB" w:rsidP="00E41BD5">
      <w:pPr>
        <w:pStyle w:val="Heading2"/>
      </w:pPr>
      <w:bookmarkStart w:id="626" w:name="_Toc39571025"/>
      <w:bookmarkStart w:id="627" w:name="_Toc39579280"/>
      <w:bookmarkStart w:id="628" w:name="_Toc39579343"/>
      <w:bookmarkStart w:id="629" w:name="_Toc39587101"/>
      <w:bookmarkStart w:id="630" w:name="_Toc39582493"/>
      <w:bookmarkStart w:id="631" w:name="_Toc40264911"/>
      <w:bookmarkStart w:id="632" w:name="_Toc40266387"/>
      <w:bookmarkStart w:id="633" w:name="_Toc40279720"/>
      <w:bookmarkStart w:id="634" w:name="_Toc40282022"/>
      <w:bookmarkStart w:id="635" w:name="_Toc40282184"/>
      <w:bookmarkStart w:id="636" w:name="_Toc40360515"/>
      <w:bookmarkStart w:id="637" w:name="_Toc40353558"/>
      <w:bookmarkStart w:id="638" w:name="_Toc40366905"/>
      <w:bookmarkStart w:id="639" w:name="_Toc40368237"/>
      <w:bookmarkStart w:id="640" w:name="_Toc40382844"/>
      <w:bookmarkStart w:id="641" w:name="_Toc40431043"/>
      <w:bookmarkStart w:id="642" w:name="_Toc40432981"/>
      <w:bookmarkStart w:id="643" w:name="_Toc40447666"/>
      <w:bookmarkStart w:id="644" w:name="_Toc40441195"/>
      <w:bookmarkStart w:id="645" w:name="_Toc40448531"/>
      <w:bookmarkStart w:id="646" w:name="_Toc40449958"/>
      <w:bookmarkStart w:id="647" w:name="_Toc40968303"/>
      <w:bookmarkStart w:id="648" w:name="_Toc41051025"/>
      <w:bookmarkStart w:id="649" w:name="_Toc41046025"/>
      <w:bookmarkStart w:id="650" w:name="_Toc41053483"/>
      <w:bookmarkStart w:id="651" w:name="_Toc44592654"/>
      <w:bookmarkStart w:id="652" w:name="_Toc44596166"/>
      <w:bookmarkStart w:id="653" w:name="_Toc44604561"/>
      <w:bookmarkStart w:id="654" w:name="_Toc54169710"/>
      <w:bookmarkStart w:id="655" w:name="_Toc56089999"/>
      <w:r>
        <w:t>4</w:t>
      </w:r>
      <w:r w:rsidR="002A16F7">
        <w:t>.2</w:t>
      </w:r>
      <w:r w:rsidR="005021AA">
        <w:tab/>
      </w:r>
      <w:r w:rsidR="002A16F7">
        <w:t>Approach for the nutrition risk assessment</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00942BB0">
        <w:t xml:space="preserve"> </w:t>
      </w:r>
    </w:p>
    <w:p w14:paraId="788A031E" w14:textId="4125BB8B" w:rsidR="002A16F7" w:rsidRDefault="00751CCA" w:rsidP="00751CCA">
      <w:r>
        <w:t>T</w:t>
      </w:r>
      <w:r w:rsidR="002A16F7">
        <w:t xml:space="preserve">he application relates to the use of rapeseed protein isolate in a range of food applications. The applicant states that </w:t>
      </w:r>
      <w:r w:rsidR="00F04EE7">
        <w:t xml:space="preserve">maximum </w:t>
      </w:r>
      <w:r w:rsidR="002A16F7">
        <w:t xml:space="preserve">use levels are not expected to exceed </w:t>
      </w:r>
      <w:r w:rsidR="00F04EE7">
        <w:t>30</w:t>
      </w:r>
      <w:r w:rsidR="002A16F7">
        <w:t>% in any one food</w:t>
      </w:r>
      <w:r w:rsidR="00F04EE7">
        <w:t>, with typical use levels being up to 10%</w:t>
      </w:r>
      <w:r w:rsidR="002A16F7">
        <w:t>. The application does not request or provide information for the use of rapeseed protein isolate in infant formula products (</w:t>
      </w:r>
      <w:r w:rsidR="002A16F7">
        <w:rPr>
          <w:lang w:bidi="ar-SA"/>
        </w:rPr>
        <w:t xml:space="preserve">infant formula, follow-on formula and infant formula products for special dietary uses) and infant foods. The scope of the nutrition risk assessment, therefore, does not include these food </w:t>
      </w:r>
      <w:r w:rsidR="00AE099C">
        <w:rPr>
          <w:lang w:bidi="ar-SA"/>
        </w:rPr>
        <w:t>classes</w:t>
      </w:r>
      <w:r w:rsidR="002A16F7">
        <w:rPr>
          <w:lang w:bidi="ar-SA"/>
        </w:rPr>
        <w:t xml:space="preserve">. </w:t>
      </w:r>
      <w:r w:rsidR="002A16F7">
        <w:t xml:space="preserve">FSANZ has assumed that the macronutrient composition of food </w:t>
      </w:r>
      <w:r w:rsidR="00AE099C">
        <w:t xml:space="preserve">classes </w:t>
      </w:r>
      <w:r w:rsidR="002A16F7">
        <w:t>and products using rapeseed protein isolate</w:t>
      </w:r>
      <w:r w:rsidR="002A16F7" w:rsidRPr="00D60E60">
        <w:t xml:space="preserve"> </w:t>
      </w:r>
      <w:r w:rsidR="002A16F7">
        <w:t xml:space="preserve">as an ingredient will not substantially alter and, thus, usual dietary protein </w:t>
      </w:r>
      <w:r w:rsidR="00AC11EB">
        <w:t xml:space="preserve">intake </w:t>
      </w:r>
      <w:r w:rsidR="00DF67AB">
        <w:t xml:space="preserve">will </w:t>
      </w:r>
      <w:r w:rsidR="002A16F7">
        <w:t>r</w:t>
      </w:r>
      <w:r w:rsidR="0024721E">
        <w:t>emain unchanged.</w:t>
      </w:r>
    </w:p>
    <w:p w14:paraId="1608293A" w14:textId="4B3EBE2E" w:rsidR="00A21C10" w:rsidRDefault="00A21C10" w:rsidP="002A16F7">
      <w:pPr>
        <w:rPr>
          <w:rFonts w:cs="Arial"/>
        </w:rPr>
      </w:pPr>
    </w:p>
    <w:p w14:paraId="42A0CEA8" w14:textId="77777777" w:rsidR="00A21C10" w:rsidRDefault="00A21C10" w:rsidP="00A21C10">
      <w:pPr>
        <w:rPr>
          <w:lang w:bidi="ar-SA"/>
        </w:rPr>
      </w:pPr>
      <w:r>
        <w:rPr>
          <w:lang w:bidi="ar-SA"/>
        </w:rPr>
        <w:t>Five anti-nutritional factors are found in canola:</w:t>
      </w:r>
    </w:p>
    <w:p w14:paraId="2E24E497" w14:textId="77777777" w:rsidR="00A21C10" w:rsidRDefault="00A21C10" w:rsidP="00A21C10">
      <w:pPr>
        <w:pStyle w:val="ListParagraph"/>
        <w:numPr>
          <w:ilvl w:val="0"/>
          <w:numId w:val="5"/>
        </w:numPr>
        <w:rPr>
          <w:lang w:bidi="ar-SA"/>
        </w:rPr>
      </w:pPr>
      <w:r>
        <w:rPr>
          <w:lang w:bidi="ar-SA"/>
        </w:rPr>
        <w:t>Erucic acid</w:t>
      </w:r>
    </w:p>
    <w:p w14:paraId="58623B5D" w14:textId="77777777" w:rsidR="00A21C10" w:rsidRDefault="00A21C10" w:rsidP="00A21C10">
      <w:pPr>
        <w:pStyle w:val="ListParagraph"/>
        <w:numPr>
          <w:ilvl w:val="0"/>
          <w:numId w:val="5"/>
        </w:numPr>
        <w:rPr>
          <w:lang w:bidi="ar-SA"/>
        </w:rPr>
      </w:pPr>
      <w:r>
        <w:rPr>
          <w:lang w:bidi="ar-SA"/>
        </w:rPr>
        <w:t>Phenolics (expressed as sinapic acid, the predominant phenolic)</w:t>
      </w:r>
    </w:p>
    <w:p w14:paraId="4B8C35B4" w14:textId="77777777" w:rsidR="00A21C10" w:rsidRDefault="00A21C10" w:rsidP="00A21C10">
      <w:pPr>
        <w:pStyle w:val="ListParagraph"/>
        <w:numPr>
          <w:ilvl w:val="0"/>
          <w:numId w:val="5"/>
        </w:numPr>
        <w:rPr>
          <w:lang w:bidi="ar-SA"/>
        </w:rPr>
      </w:pPr>
      <w:r>
        <w:rPr>
          <w:lang w:bidi="ar-SA"/>
        </w:rPr>
        <w:t>Phytic acid</w:t>
      </w:r>
    </w:p>
    <w:p w14:paraId="5CF508D7" w14:textId="77777777" w:rsidR="00A21C10" w:rsidRDefault="00A21C10" w:rsidP="00A21C10">
      <w:pPr>
        <w:pStyle w:val="ListParagraph"/>
        <w:numPr>
          <w:ilvl w:val="0"/>
          <w:numId w:val="5"/>
        </w:numPr>
        <w:rPr>
          <w:lang w:bidi="ar-SA"/>
        </w:rPr>
      </w:pPr>
      <w:r>
        <w:rPr>
          <w:lang w:bidi="ar-SA"/>
        </w:rPr>
        <w:t>Glucosinolates</w:t>
      </w:r>
    </w:p>
    <w:p w14:paraId="3F6100C3" w14:textId="4B4076D5" w:rsidR="00A21C10" w:rsidRDefault="00250B1D" w:rsidP="00A21C10">
      <w:pPr>
        <w:pStyle w:val="ListParagraph"/>
        <w:numPr>
          <w:ilvl w:val="0"/>
          <w:numId w:val="5"/>
        </w:numPr>
        <w:rPr>
          <w:lang w:bidi="ar-SA"/>
        </w:rPr>
      </w:pPr>
      <w:r>
        <w:rPr>
          <w:lang w:bidi="ar-SA"/>
        </w:rPr>
        <w:t>Protease inhibitors.</w:t>
      </w:r>
    </w:p>
    <w:p w14:paraId="693D36AF" w14:textId="77777777" w:rsidR="00005E79" w:rsidRDefault="00005E79" w:rsidP="002A16F7">
      <w:pPr>
        <w:rPr>
          <w:rFonts w:cs="Arial"/>
        </w:rPr>
      </w:pPr>
    </w:p>
    <w:p w14:paraId="14D1624E" w14:textId="7AE24671" w:rsidR="002A16F7" w:rsidRPr="00AB0707" w:rsidRDefault="00741441" w:rsidP="0021369B">
      <w:pPr>
        <w:rPr>
          <w:lang w:bidi="ar-SA"/>
        </w:rPr>
      </w:pPr>
      <w:r>
        <w:rPr>
          <w:rFonts w:cs="Arial"/>
        </w:rPr>
        <w:t>P</w:t>
      </w:r>
      <w:r w:rsidR="00A21C10">
        <w:rPr>
          <w:rFonts w:cs="Arial"/>
        </w:rPr>
        <w:t>rotease inhibitors, phyt</w:t>
      </w:r>
      <w:r w:rsidR="00D8576B">
        <w:rPr>
          <w:rFonts w:cs="Arial"/>
        </w:rPr>
        <w:t xml:space="preserve">ic acid and phenolics </w:t>
      </w:r>
      <w:r w:rsidR="00A21C10">
        <w:rPr>
          <w:rFonts w:cs="Arial"/>
        </w:rPr>
        <w:t xml:space="preserve">are evaluated in the nutrition risk assessment. Erucic acid and glucosinolates are assessed in the </w:t>
      </w:r>
      <w:r w:rsidR="00BB1E41">
        <w:rPr>
          <w:rFonts w:cs="Arial"/>
        </w:rPr>
        <w:t>toxicological</w:t>
      </w:r>
      <w:r w:rsidR="00A21C10">
        <w:rPr>
          <w:rFonts w:cs="Arial"/>
        </w:rPr>
        <w:t xml:space="preserve"> assessment (</w:t>
      </w:r>
      <w:r w:rsidR="00BB1E41">
        <w:rPr>
          <w:rFonts w:cs="Arial"/>
        </w:rPr>
        <w:t>refer to</w:t>
      </w:r>
      <w:r w:rsidR="00A21C10">
        <w:rPr>
          <w:rFonts w:cs="Arial"/>
        </w:rPr>
        <w:t xml:space="preserve"> </w:t>
      </w:r>
      <w:r w:rsidR="000F3F95">
        <w:rPr>
          <w:rFonts w:cs="Arial"/>
        </w:rPr>
        <w:t>S</w:t>
      </w:r>
      <w:r w:rsidR="00A21C10">
        <w:rPr>
          <w:rFonts w:cs="Arial"/>
        </w:rPr>
        <w:t>ection 5)</w:t>
      </w:r>
      <w:r w:rsidR="00E91355">
        <w:rPr>
          <w:rFonts w:cs="Arial"/>
        </w:rPr>
        <w:t xml:space="preserve"> because they have been associated with overt signs of toxicity or a health-based guidance value</w:t>
      </w:r>
      <w:r w:rsidR="00700B53">
        <w:rPr>
          <w:rFonts w:cs="Arial"/>
        </w:rPr>
        <w:t xml:space="preserve"> has been established by FSANZ.</w:t>
      </w:r>
    </w:p>
    <w:p w14:paraId="3FB50CA6" w14:textId="17DB1B5F" w:rsidR="002A16F7" w:rsidRDefault="00E915FB" w:rsidP="00E41BD5">
      <w:pPr>
        <w:pStyle w:val="Heading2"/>
      </w:pPr>
      <w:bookmarkStart w:id="656" w:name="_Toc39571026"/>
      <w:bookmarkStart w:id="657" w:name="_Toc39579281"/>
      <w:bookmarkStart w:id="658" w:name="_Toc39579344"/>
      <w:bookmarkStart w:id="659" w:name="_Toc39587102"/>
      <w:bookmarkStart w:id="660" w:name="_Toc39582494"/>
      <w:bookmarkStart w:id="661" w:name="_Toc40264912"/>
      <w:bookmarkStart w:id="662" w:name="_Toc40266388"/>
      <w:bookmarkStart w:id="663" w:name="_Toc40279721"/>
      <w:bookmarkStart w:id="664" w:name="_Toc40282023"/>
      <w:bookmarkStart w:id="665" w:name="_Toc40282185"/>
      <w:bookmarkStart w:id="666" w:name="_Toc40360516"/>
      <w:bookmarkStart w:id="667" w:name="_Toc40353559"/>
      <w:bookmarkStart w:id="668" w:name="_Toc40366906"/>
      <w:bookmarkStart w:id="669" w:name="_Toc40368238"/>
      <w:bookmarkStart w:id="670" w:name="_Toc40382845"/>
      <w:bookmarkStart w:id="671" w:name="_Toc40431044"/>
      <w:bookmarkStart w:id="672" w:name="_Toc40432982"/>
      <w:bookmarkStart w:id="673" w:name="_Toc40447667"/>
      <w:bookmarkStart w:id="674" w:name="_Toc40441196"/>
      <w:bookmarkStart w:id="675" w:name="_Toc40448532"/>
      <w:bookmarkStart w:id="676" w:name="_Toc40449959"/>
      <w:bookmarkStart w:id="677" w:name="_Toc40968304"/>
      <w:bookmarkStart w:id="678" w:name="_Toc41051026"/>
      <w:bookmarkStart w:id="679" w:name="_Toc41046026"/>
      <w:bookmarkStart w:id="680" w:name="_Toc41053484"/>
      <w:bookmarkStart w:id="681" w:name="_Toc44592655"/>
      <w:bookmarkStart w:id="682" w:name="_Toc44596167"/>
      <w:bookmarkStart w:id="683" w:name="_Toc44604562"/>
      <w:bookmarkStart w:id="684" w:name="_Toc54169711"/>
      <w:bookmarkStart w:id="685" w:name="_Toc56090000"/>
      <w:r>
        <w:t>4</w:t>
      </w:r>
      <w:r w:rsidR="002A16F7">
        <w:t>.3</w:t>
      </w:r>
      <w:r w:rsidR="005021AA">
        <w:tab/>
      </w:r>
      <w:r w:rsidR="002A16F7">
        <w:t>Protein quality</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1FB30CA1" w14:textId="698962F0" w:rsidR="002A16F7" w:rsidRDefault="002A16F7" w:rsidP="002A16F7">
      <w:r>
        <w:t>The applica</w:t>
      </w:r>
      <w:r w:rsidR="00626081">
        <w:t>tion</w:t>
      </w:r>
      <w:r>
        <w:t>:</w:t>
      </w:r>
    </w:p>
    <w:p w14:paraId="32F84B8A" w14:textId="764F6217" w:rsidR="002A16F7" w:rsidRDefault="002A16F7" w:rsidP="002A16F7">
      <w:pPr>
        <w:pStyle w:val="ListParagraph"/>
        <w:widowControl/>
        <w:numPr>
          <w:ilvl w:val="0"/>
          <w:numId w:val="9"/>
        </w:numPr>
      </w:pPr>
      <w:r>
        <w:t xml:space="preserve">states </w:t>
      </w:r>
      <w:r w:rsidR="00626081">
        <w:t>that</w:t>
      </w:r>
      <w:r>
        <w:t xml:space="preserve"> rapeseed protein isolate contains ~40-65% cruciferins and 35-60% napins</w:t>
      </w:r>
    </w:p>
    <w:p w14:paraId="7A76B8CF" w14:textId="280F4FA9" w:rsidR="002A16F7" w:rsidRPr="0084787A" w:rsidRDefault="002A16F7" w:rsidP="002A16F7">
      <w:pPr>
        <w:pStyle w:val="ListParagraph"/>
        <w:widowControl/>
        <w:numPr>
          <w:ilvl w:val="0"/>
          <w:numId w:val="9"/>
        </w:numPr>
      </w:pPr>
      <w:r>
        <w:t xml:space="preserve">presents the </w:t>
      </w:r>
      <w:r w:rsidR="00626081">
        <w:t>protein content from analysis of</w:t>
      </w:r>
      <w:r>
        <w:t xml:space="preserve"> five batches of </w:t>
      </w:r>
      <w:r w:rsidR="00202772">
        <w:t xml:space="preserve">CanolaPRO </w:t>
      </w:r>
      <w:r w:rsidR="001930C4">
        <w:t>produced in 2015 and 3 batches produced in 2018</w:t>
      </w:r>
      <w:r w:rsidR="00626081">
        <w:t>,</w:t>
      </w:r>
      <w:r w:rsidR="001930C4">
        <w:t xml:space="preserve"> </w:t>
      </w:r>
      <w:r>
        <w:t>and a nitrogen conversion factor of 6.25. Total protein range: 96.3</w:t>
      </w:r>
      <w:r w:rsidR="00B9281D">
        <w:t>–</w:t>
      </w:r>
      <w:r>
        <w:t>9</w:t>
      </w:r>
      <w:r w:rsidR="0073144D">
        <w:t>9</w:t>
      </w:r>
      <w:r w:rsidR="0048470C">
        <w:t>.1%.</w:t>
      </w:r>
    </w:p>
    <w:p w14:paraId="379CC893" w14:textId="77777777" w:rsidR="002A16F7" w:rsidRPr="0084787A" w:rsidRDefault="002A16F7" w:rsidP="002A16F7">
      <w:pPr>
        <w:pStyle w:val="ListParagraph"/>
        <w:widowControl/>
        <w:numPr>
          <w:ilvl w:val="0"/>
          <w:numId w:val="9"/>
        </w:numPr>
      </w:pPr>
      <w:r w:rsidRPr="0084787A">
        <w:t>proposes a specification for protein</w:t>
      </w:r>
      <w:r>
        <w:t xml:space="preserve"> content</w:t>
      </w:r>
      <w:r w:rsidRPr="0084787A">
        <w:t xml:space="preserve">: </w:t>
      </w:r>
      <w:r w:rsidRPr="0084787A">
        <w:rPr>
          <w:rFonts w:cs="Arial"/>
        </w:rPr>
        <w:t>≥</w:t>
      </w:r>
      <w:r w:rsidRPr="0084787A">
        <w:t xml:space="preserve"> 90%</w:t>
      </w:r>
    </w:p>
    <w:p w14:paraId="14C76E1F" w14:textId="4E3BC513" w:rsidR="002A16F7" w:rsidRDefault="002A16F7" w:rsidP="002A16F7">
      <w:pPr>
        <w:pStyle w:val="ListParagraph"/>
        <w:widowControl/>
        <w:numPr>
          <w:ilvl w:val="0"/>
          <w:numId w:val="9"/>
        </w:numPr>
      </w:pPr>
      <w:r>
        <w:t xml:space="preserve">presents an amino acid profile </w:t>
      </w:r>
      <w:r w:rsidRPr="008E6688">
        <w:t>using five batches</w:t>
      </w:r>
      <w:r>
        <w:t xml:space="preserve"> of </w:t>
      </w:r>
      <w:r w:rsidR="00202772">
        <w:t xml:space="preserve">CanolaPRO </w:t>
      </w:r>
      <w:r>
        <w:t xml:space="preserve">(Table </w:t>
      </w:r>
      <w:r w:rsidR="005D49CA">
        <w:t>4</w:t>
      </w:r>
      <w:r>
        <w:t>.</w:t>
      </w:r>
      <w:r w:rsidR="004022CA">
        <w:t>1</w:t>
      </w:r>
      <w:r>
        <w:t>)</w:t>
      </w:r>
    </w:p>
    <w:p w14:paraId="06BC979E" w14:textId="254BE0C1" w:rsidR="00B9281D" w:rsidRDefault="002A16F7" w:rsidP="00A427F7">
      <w:pPr>
        <w:pStyle w:val="ListParagraph"/>
        <w:widowControl/>
        <w:numPr>
          <w:ilvl w:val="0"/>
          <w:numId w:val="9"/>
        </w:numPr>
      </w:pPr>
      <w:r w:rsidRPr="00CF1C15">
        <w:t xml:space="preserve">states </w:t>
      </w:r>
      <w:r w:rsidR="00B36A36">
        <w:t xml:space="preserve">that </w:t>
      </w:r>
      <w:r w:rsidRPr="00CF1C15">
        <w:t>the Protein Dige</w:t>
      </w:r>
      <w:r>
        <w:t xml:space="preserve">stibility Corrected Amino Acid </w:t>
      </w:r>
      <w:r w:rsidR="00B36A36">
        <w:t xml:space="preserve">Score (PDCAAS) of rapeseed protein isolate is </w:t>
      </w:r>
      <w:r w:rsidRPr="00CF1C15">
        <w:t>100%</w:t>
      </w:r>
      <w:r w:rsidR="00E75B92">
        <w:t>.</w:t>
      </w:r>
    </w:p>
    <w:p w14:paraId="0259AAA8" w14:textId="77777777" w:rsidR="002A16F7" w:rsidRDefault="002A16F7" w:rsidP="00B9281D">
      <w:pPr>
        <w:widowControl/>
      </w:pPr>
    </w:p>
    <w:p w14:paraId="47554D32" w14:textId="1463FF7D" w:rsidR="00942BB0" w:rsidRDefault="002A16F7" w:rsidP="002A16F7">
      <w:r>
        <w:t xml:space="preserve">Protein quality reflects the ability of dietary protein to provide adequate </w:t>
      </w:r>
      <w:r w:rsidR="003C5C46">
        <w:t xml:space="preserve">essential </w:t>
      </w:r>
      <w:r>
        <w:t>amino acids and depends on the amino acid composition and digestibility</w:t>
      </w:r>
      <w:r w:rsidR="003963CC" w:rsidRPr="003963CC">
        <w:t xml:space="preserve"> </w:t>
      </w:r>
      <w:r w:rsidR="003963CC">
        <w:t>of the protein</w:t>
      </w:r>
      <w:r>
        <w:t xml:space="preserve">. Protein quality can be quantified using the PDCAAS. </w:t>
      </w:r>
      <w:r w:rsidR="009005C8">
        <w:t xml:space="preserve">Rapeseed protein contains all </w:t>
      </w:r>
      <w:r w:rsidR="00B50644">
        <w:t xml:space="preserve">of the </w:t>
      </w:r>
      <w:r w:rsidR="009005C8">
        <w:t>essential amino acids as shown by t</w:t>
      </w:r>
      <w:r>
        <w:t xml:space="preserve">he amino acid profile of </w:t>
      </w:r>
      <w:r w:rsidR="00202772">
        <w:t xml:space="preserve">CanolaPRO </w:t>
      </w:r>
      <w:r>
        <w:t>in Table</w:t>
      </w:r>
      <w:r w:rsidR="00E75B92">
        <w:t> </w:t>
      </w:r>
      <w:r w:rsidR="007C390D">
        <w:t>4</w:t>
      </w:r>
      <w:r>
        <w:t>.</w:t>
      </w:r>
      <w:r w:rsidR="004022CA">
        <w:t>1</w:t>
      </w:r>
      <w:r>
        <w:t xml:space="preserve">. The PDCAAS of three rapeseed protein isolates and the values </w:t>
      </w:r>
      <w:r w:rsidR="00871685">
        <w:t xml:space="preserve">used to derive the PDCAAS </w:t>
      </w:r>
      <w:r>
        <w:t xml:space="preserve">(amino acid score and protein digestibility) are presented in Tables </w:t>
      </w:r>
      <w:r w:rsidR="007C390D">
        <w:t>4</w:t>
      </w:r>
      <w:r>
        <w:t xml:space="preserve">.2, </w:t>
      </w:r>
      <w:r w:rsidR="007C390D">
        <w:t>4</w:t>
      </w:r>
      <w:r>
        <w:t xml:space="preserve">.3a and </w:t>
      </w:r>
      <w:r w:rsidR="007C390D">
        <w:t>4</w:t>
      </w:r>
      <w:r>
        <w:t>.3b.</w:t>
      </w:r>
    </w:p>
    <w:p w14:paraId="617AB8D3" w14:textId="77777777" w:rsidR="00942BB0" w:rsidRDefault="00942BB0" w:rsidP="002A16F7"/>
    <w:p w14:paraId="4868EF59" w14:textId="0E0FAB7C" w:rsidR="002A16F7" w:rsidRDefault="002A16F7" w:rsidP="002A16F7">
      <w:pPr>
        <w:rPr>
          <w:lang w:val="en-AU"/>
        </w:rPr>
      </w:pPr>
      <w:r>
        <w:t xml:space="preserve">The PDCAAS of </w:t>
      </w:r>
      <w:r w:rsidR="00202772">
        <w:t xml:space="preserve">CanolaPRO </w:t>
      </w:r>
      <w:r w:rsidR="00344D0D">
        <w:t>has been measured to be</w:t>
      </w:r>
      <w:r>
        <w:t xml:space="preserve"> 100% (Table </w:t>
      </w:r>
      <w:r w:rsidR="007C390D">
        <w:t>4</w:t>
      </w:r>
      <w:r>
        <w:t xml:space="preserve">.2). The PDCAAS of </w:t>
      </w:r>
      <w:r w:rsidR="00362FE0">
        <w:t>other rapeseed protein isolates</w:t>
      </w:r>
      <w:r w:rsidR="00602CD6">
        <w:t xml:space="preserve"> </w:t>
      </w:r>
      <w:r w:rsidR="00392731">
        <w:t>approved overseas</w:t>
      </w:r>
      <w:r w:rsidR="00602CD6">
        <w:t xml:space="preserve"> </w:t>
      </w:r>
      <w:r w:rsidR="00362FE0">
        <w:t>(</w:t>
      </w:r>
      <w:r w:rsidR="00D41042">
        <w:t>Isolex</w:t>
      </w:r>
      <w:r w:rsidR="0009796E">
        <w:t>x</w:t>
      </w:r>
      <w:r>
        <w:t xml:space="preserve"> and Vitalexx</w:t>
      </w:r>
      <w:r w:rsidR="00362FE0">
        <w:t>)</w:t>
      </w:r>
      <w:r w:rsidR="00602CD6">
        <w:t xml:space="preserve"> have been reported as</w:t>
      </w:r>
      <w:r>
        <w:t xml:space="preserve"> 86% and 87%, respectively (Table</w:t>
      </w:r>
      <w:r w:rsidR="008F68FA">
        <w:t> </w:t>
      </w:r>
      <w:r w:rsidR="007C390D">
        <w:t>4</w:t>
      </w:r>
      <w:r>
        <w:t>.3a)</w:t>
      </w:r>
      <w:r w:rsidR="00602CD6">
        <w:t xml:space="preserve"> and </w:t>
      </w:r>
      <w:r w:rsidR="00871685">
        <w:t>both as</w:t>
      </w:r>
      <w:r w:rsidR="00602CD6">
        <w:t xml:space="preserve"> </w:t>
      </w:r>
      <w:r>
        <w:t xml:space="preserve">100% when assessed in a different laboratory (Table </w:t>
      </w:r>
      <w:r w:rsidR="00A345B8">
        <w:t>4</w:t>
      </w:r>
      <w:r>
        <w:t xml:space="preserve">.3b). </w:t>
      </w:r>
      <w:r w:rsidR="00362FE0" w:rsidRPr="003C5C46">
        <w:t>T</w:t>
      </w:r>
      <w:r w:rsidRPr="003C5C46">
        <w:t xml:space="preserve">he PDCAAS values </w:t>
      </w:r>
      <w:r w:rsidR="00362FE0" w:rsidRPr="003C5C46">
        <w:t xml:space="preserve">of </w:t>
      </w:r>
      <w:r w:rsidRPr="003C5C46">
        <w:t>the rapeseed protein isolates are consistently higher than soy protein isolate comparator</w:t>
      </w:r>
      <w:r w:rsidR="00362FE0" w:rsidRPr="003C5C46">
        <w:t>s</w:t>
      </w:r>
      <w:r w:rsidRPr="003C5C46">
        <w:t>.</w:t>
      </w:r>
      <w:r>
        <w:t xml:space="preserve"> In conclusion, the protein quality of rapeseed protein isolates (specifically CanolaPRO, Isolexx</w:t>
      </w:r>
      <w:r w:rsidRPr="0045616E">
        <w:rPr>
          <w:vertAlign w:val="superscript"/>
        </w:rPr>
        <w:t xml:space="preserve"> </w:t>
      </w:r>
      <w:r>
        <w:t xml:space="preserve">and Vitalexx) </w:t>
      </w:r>
      <w:r w:rsidR="0044304C">
        <w:t>ha</w:t>
      </w:r>
      <w:r w:rsidR="00561E92">
        <w:t>s</w:t>
      </w:r>
      <w:r w:rsidR="0044304C">
        <w:t xml:space="preserve"> been reported to be </w:t>
      </w:r>
      <w:r>
        <w:t xml:space="preserve">similar </w:t>
      </w:r>
      <w:r w:rsidRPr="00696DFE">
        <w:rPr>
          <w:lang w:val="en-AU"/>
        </w:rPr>
        <w:t>to</w:t>
      </w:r>
      <w:r>
        <w:rPr>
          <w:lang w:val="en-AU"/>
        </w:rPr>
        <w:t xml:space="preserve"> </w:t>
      </w:r>
      <w:r w:rsidR="00561E92">
        <w:rPr>
          <w:lang w:val="en-AU"/>
        </w:rPr>
        <w:t xml:space="preserve">that of the milk protein casein and slightly higher than that of </w:t>
      </w:r>
      <w:r>
        <w:rPr>
          <w:lang w:val="en-AU"/>
        </w:rPr>
        <w:t>soy prote</w:t>
      </w:r>
      <w:r w:rsidR="00575C3B">
        <w:rPr>
          <w:lang w:val="en-AU"/>
        </w:rPr>
        <w:t>in isolates</w:t>
      </w:r>
      <w:r w:rsidR="00F6211B">
        <w:rPr>
          <w:lang w:val="en-AU"/>
        </w:rPr>
        <w:t>.</w:t>
      </w:r>
    </w:p>
    <w:p w14:paraId="7CB2F741" w14:textId="77777777" w:rsidR="002A16F7" w:rsidRDefault="002A16F7" w:rsidP="002A16F7"/>
    <w:p w14:paraId="704B385F" w14:textId="27A0A4C0" w:rsidR="005021AA" w:rsidRDefault="002A16F7" w:rsidP="00F15D49">
      <w:pPr>
        <w:pStyle w:val="FSTableTitle"/>
        <w:keepNext/>
        <w:keepLines/>
        <w:rPr>
          <w:b w:val="0"/>
          <w:i/>
        </w:rPr>
      </w:pPr>
      <w:r w:rsidRPr="005021AA">
        <w:rPr>
          <w:i/>
        </w:rPr>
        <w:t xml:space="preserve">Table </w:t>
      </w:r>
      <w:r w:rsidR="00B429B6" w:rsidRPr="005021AA">
        <w:rPr>
          <w:i/>
        </w:rPr>
        <w:t>4</w:t>
      </w:r>
      <w:r>
        <w:rPr>
          <w:i/>
        </w:rPr>
        <w:t>.1</w:t>
      </w:r>
      <w:r w:rsidR="00F6211B">
        <w:rPr>
          <w:i/>
        </w:rPr>
        <w:tab/>
      </w:r>
      <w:r w:rsidR="00226EC0">
        <w:rPr>
          <w:b w:val="0"/>
          <w:i/>
        </w:rPr>
        <w:t>Amino acid profile of CanolaPRO</w:t>
      </w:r>
    </w:p>
    <w:p w14:paraId="09FEEE59" w14:textId="77777777" w:rsidR="00F15D49" w:rsidRPr="00F15D49" w:rsidRDefault="00F15D49" w:rsidP="00F15D49">
      <w:pPr>
        <w:keepNext/>
        <w:keepLines/>
      </w:pPr>
    </w:p>
    <w:tbl>
      <w:tblPr>
        <w:tblStyle w:val="TableGrid"/>
        <w:tblW w:w="3681" w:type="dxa"/>
        <w:tblLook w:val="04A0" w:firstRow="1" w:lastRow="0" w:firstColumn="1" w:lastColumn="0" w:noHBand="0" w:noVBand="1"/>
        <w:tblCaption w:val="Table 4.1 Amino acid profile of CanolaPROTM"/>
        <w:tblDescription w:val="Table 4.1 contains 2 columns. Column 1 lists amino acids and then column 2 lists the amount of each amino acid in gram per 100 gram of CanolaPRO."/>
      </w:tblPr>
      <w:tblGrid>
        <w:gridCol w:w="2122"/>
        <w:gridCol w:w="1559"/>
      </w:tblGrid>
      <w:tr w:rsidR="002A16F7" w:rsidRPr="007E1BC8" w14:paraId="136160B6" w14:textId="77777777" w:rsidTr="004C3141">
        <w:trPr>
          <w:trHeight w:val="424"/>
        </w:trPr>
        <w:tc>
          <w:tcPr>
            <w:tcW w:w="2122" w:type="dxa"/>
          </w:tcPr>
          <w:p w14:paraId="23D1C1E2" w14:textId="77777777" w:rsidR="002A16F7" w:rsidRDefault="002A16F7" w:rsidP="00F15D49">
            <w:pPr>
              <w:pStyle w:val="FSTableHeading"/>
              <w:keepNext/>
              <w:keepLines/>
            </w:pPr>
            <w:r>
              <w:t>Amino acid</w:t>
            </w:r>
          </w:p>
          <w:p w14:paraId="4107BB2A" w14:textId="77777777" w:rsidR="002A16F7" w:rsidRPr="007E1BC8" w:rsidRDefault="002A16F7" w:rsidP="00F15D49">
            <w:pPr>
              <w:keepNext/>
              <w:keepLines/>
              <w:rPr>
                <w:rFonts w:cs="Arial"/>
                <w:b/>
                <w:sz w:val="18"/>
                <w:szCs w:val="18"/>
              </w:rPr>
            </w:pPr>
          </w:p>
        </w:tc>
        <w:tc>
          <w:tcPr>
            <w:tcW w:w="1559" w:type="dxa"/>
          </w:tcPr>
          <w:p w14:paraId="60A41FB6" w14:textId="3A252BAB" w:rsidR="002A16F7" w:rsidRPr="007E1BC8" w:rsidRDefault="007F355D" w:rsidP="00F15D49">
            <w:pPr>
              <w:pStyle w:val="FSTableHeading"/>
              <w:keepNext/>
              <w:keepLines/>
            </w:pPr>
            <w:r>
              <w:t>Amino acid content</w:t>
            </w:r>
            <w:r w:rsidR="002A16F7" w:rsidRPr="006E421F">
              <w:t xml:space="preserve"> (g/100</w:t>
            </w:r>
            <w:r w:rsidR="00626081">
              <w:t xml:space="preserve"> </w:t>
            </w:r>
            <w:r w:rsidR="002A16F7" w:rsidRPr="006E421F">
              <w:t>g)</w:t>
            </w:r>
          </w:p>
        </w:tc>
      </w:tr>
      <w:tr w:rsidR="002A16F7" w:rsidRPr="007E1BC8" w14:paraId="75612C4D" w14:textId="77777777" w:rsidTr="004C3141">
        <w:tc>
          <w:tcPr>
            <w:tcW w:w="2122" w:type="dxa"/>
          </w:tcPr>
          <w:p w14:paraId="19C7E68F" w14:textId="77777777" w:rsidR="002A16F7" w:rsidRPr="007E1BC8" w:rsidRDefault="002A16F7" w:rsidP="00F15D49">
            <w:pPr>
              <w:pStyle w:val="FSTableText"/>
              <w:keepNext/>
              <w:keepLines/>
            </w:pPr>
            <w:r w:rsidRPr="007E1BC8">
              <w:t>Alanine</w:t>
            </w:r>
            <w:r>
              <w:t xml:space="preserve"> </w:t>
            </w:r>
          </w:p>
        </w:tc>
        <w:tc>
          <w:tcPr>
            <w:tcW w:w="1559" w:type="dxa"/>
          </w:tcPr>
          <w:p w14:paraId="24E4B785" w14:textId="77777777" w:rsidR="002A16F7" w:rsidRPr="007E1BC8" w:rsidRDefault="002A16F7" w:rsidP="00F15D49">
            <w:pPr>
              <w:pStyle w:val="FSTableText"/>
              <w:keepNext/>
              <w:keepLines/>
              <w:jc w:val="right"/>
            </w:pPr>
            <w:r>
              <w:t>4.17</w:t>
            </w:r>
          </w:p>
        </w:tc>
      </w:tr>
      <w:tr w:rsidR="002A16F7" w:rsidRPr="007E1BC8" w14:paraId="699A1D68" w14:textId="77777777" w:rsidTr="004C3141">
        <w:tc>
          <w:tcPr>
            <w:tcW w:w="2122" w:type="dxa"/>
          </w:tcPr>
          <w:p w14:paraId="2BED6EA6" w14:textId="77777777" w:rsidR="002A16F7" w:rsidRPr="007E1BC8" w:rsidRDefault="002A16F7" w:rsidP="00F15D49">
            <w:pPr>
              <w:pStyle w:val="FSTableText"/>
              <w:keepNext/>
              <w:keepLines/>
            </w:pPr>
            <w:r w:rsidRPr="007E1BC8">
              <w:t>Arginine</w:t>
            </w:r>
          </w:p>
        </w:tc>
        <w:tc>
          <w:tcPr>
            <w:tcW w:w="1559" w:type="dxa"/>
          </w:tcPr>
          <w:p w14:paraId="4EBAA6B4" w14:textId="77777777" w:rsidR="002A16F7" w:rsidRPr="007E1BC8" w:rsidRDefault="002A16F7" w:rsidP="00F15D49">
            <w:pPr>
              <w:pStyle w:val="FSTableText"/>
              <w:keepNext/>
              <w:keepLines/>
              <w:jc w:val="right"/>
            </w:pPr>
            <w:r>
              <w:t>6.32</w:t>
            </w:r>
          </w:p>
        </w:tc>
      </w:tr>
      <w:tr w:rsidR="002A16F7" w:rsidRPr="007E1BC8" w14:paraId="4F92FF69" w14:textId="77777777" w:rsidTr="004C3141">
        <w:tc>
          <w:tcPr>
            <w:tcW w:w="2122" w:type="dxa"/>
          </w:tcPr>
          <w:p w14:paraId="58670CB3" w14:textId="77777777" w:rsidR="002A16F7" w:rsidRPr="007E1BC8" w:rsidRDefault="002A16F7" w:rsidP="00F15D49">
            <w:pPr>
              <w:pStyle w:val="FSTableText"/>
              <w:keepNext/>
              <w:keepLines/>
            </w:pPr>
            <w:r w:rsidRPr="007E1BC8">
              <w:t>Aspartate</w:t>
            </w:r>
            <w:r>
              <w:t xml:space="preserve"> </w:t>
            </w:r>
          </w:p>
        </w:tc>
        <w:tc>
          <w:tcPr>
            <w:tcW w:w="1559" w:type="dxa"/>
          </w:tcPr>
          <w:p w14:paraId="045F1AC7" w14:textId="77777777" w:rsidR="002A16F7" w:rsidRPr="007E1BC8" w:rsidRDefault="002A16F7" w:rsidP="00F15D49">
            <w:pPr>
              <w:pStyle w:val="FSTableText"/>
              <w:keepNext/>
              <w:keepLines/>
              <w:jc w:val="right"/>
            </w:pPr>
            <w:r>
              <w:t>5.68</w:t>
            </w:r>
          </w:p>
        </w:tc>
      </w:tr>
      <w:tr w:rsidR="002A16F7" w:rsidRPr="007E1BC8" w14:paraId="7964EF20" w14:textId="77777777" w:rsidTr="004C3141">
        <w:tc>
          <w:tcPr>
            <w:tcW w:w="2122" w:type="dxa"/>
          </w:tcPr>
          <w:p w14:paraId="555D450C" w14:textId="77777777" w:rsidR="002A16F7" w:rsidRPr="007E1BC8" w:rsidRDefault="002A16F7" w:rsidP="00F15D49">
            <w:pPr>
              <w:pStyle w:val="FSTableText"/>
              <w:keepNext/>
              <w:keepLines/>
            </w:pPr>
            <w:r w:rsidRPr="007E1BC8">
              <w:t>Glutamate</w:t>
            </w:r>
            <w:r>
              <w:t xml:space="preserve"> </w:t>
            </w:r>
          </w:p>
        </w:tc>
        <w:tc>
          <w:tcPr>
            <w:tcW w:w="1559" w:type="dxa"/>
          </w:tcPr>
          <w:p w14:paraId="762EB865" w14:textId="70AC6E97" w:rsidR="002A16F7" w:rsidRPr="007E1BC8" w:rsidRDefault="002A16F7" w:rsidP="00F15D49">
            <w:pPr>
              <w:pStyle w:val="FSTableText"/>
              <w:keepNext/>
              <w:keepLines/>
              <w:jc w:val="right"/>
            </w:pPr>
            <w:r>
              <w:t>22.4</w:t>
            </w:r>
            <w:r w:rsidR="004C3141">
              <w:t>0</w:t>
            </w:r>
          </w:p>
        </w:tc>
      </w:tr>
      <w:tr w:rsidR="002A16F7" w:rsidRPr="007E1BC8" w14:paraId="76AA8DE3" w14:textId="77777777" w:rsidTr="004C3141">
        <w:tc>
          <w:tcPr>
            <w:tcW w:w="2122" w:type="dxa"/>
          </w:tcPr>
          <w:p w14:paraId="3036A952" w14:textId="77777777" w:rsidR="002A16F7" w:rsidRPr="007E1BC8" w:rsidRDefault="002A16F7" w:rsidP="00F15D49">
            <w:pPr>
              <w:pStyle w:val="FSTableText"/>
              <w:keepNext/>
              <w:keepLines/>
            </w:pPr>
            <w:r w:rsidRPr="007E1BC8">
              <w:t>Glycine</w:t>
            </w:r>
          </w:p>
        </w:tc>
        <w:tc>
          <w:tcPr>
            <w:tcW w:w="1559" w:type="dxa"/>
          </w:tcPr>
          <w:p w14:paraId="3C0A6AA8" w14:textId="77777777" w:rsidR="002A16F7" w:rsidRPr="007E1BC8" w:rsidRDefault="002A16F7" w:rsidP="00F15D49">
            <w:pPr>
              <w:pStyle w:val="FSTableText"/>
              <w:keepNext/>
              <w:keepLines/>
              <w:jc w:val="right"/>
            </w:pPr>
            <w:r>
              <w:t>4.83</w:t>
            </w:r>
          </w:p>
        </w:tc>
      </w:tr>
      <w:tr w:rsidR="002A16F7" w:rsidRPr="007E1BC8" w14:paraId="0338FD6A" w14:textId="77777777" w:rsidTr="004C3141">
        <w:tc>
          <w:tcPr>
            <w:tcW w:w="2122" w:type="dxa"/>
          </w:tcPr>
          <w:p w14:paraId="08123C06" w14:textId="77777777" w:rsidR="002A16F7" w:rsidRPr="007E1BC8" w:rsidRDefault="002A16F7" w:rsidP="00F15D49">
            <w:pPr>
              <w:pStyle w:val="FSTableText"/>
              <w:keepNext/>
              <w:keepLines/>
            </w:pPr>
            <w:r w:rsidRPr="007E1BC8">
              <w:t>Histidine*</w:t>
            </w:r>
            <w:r>
              <w:t xml:space="preserve"> </w:t>
            </w:r>
          </w:p>
        </w:tc>
        <w:tc>
          <w:tcPr>
            <w:tcW w:w="1559" w:type="dxa"/>
          </w:tcPr>
          <w:p w14:paraId="3E955DB7" w14:textId="77777777" w:rsidR="002A16F7" w:rsidRPr="007E1BC8" w:rsidRDefault="002A16F7" w:rsidP="00F15D49">
            <w:pPr>
              <w:pStyle w:val="FSTableText"/>
              <w:keepNext/>
              <w:keepLines/>
              <w:jc w:val="right"/>
            </w:pPr>
            <w:r>
              <w:t>3.05</w:t>
            </w:r>
          </w:p>
        </w:tc>
      </w:tr>
      <w:tr w:rsidR="002A16F7" w:rsidRPr="007E1BC8" w14:paraId="5E99CEBE" w14:textId="77777777" w:rsidTr="004C3141">
        <w:tc>
          <w:tcPr>
            <w:tcW w:w="2122" w:type="dxa"/>
          </w:tcPr>
          <w:p w14:paraId="3C5E8D5F" w14:textId="77777777" w:rsidR="002A16F7" w:rsidRPr="007E1BC8" w:rsidRDefault="002A16F7" w:rsidP="00F15D49">
            <w:pPr>
              <w:pStyle w:val="FSTableText"/>
              <w:keepNext/>
              <w:keepLines/>
            </w:pPr>
            <w:r w:rsidRPr="007E1BC8">
              <w:t>Hydroxyproline</w:t>
            </w:r>
            <w:r>
              <w:t xml:space="preserve"> </w:t>
            </w:r>
          </w:p>
        </w:tc>
        <w:tc>
          <w:tcPr>
            <w:tcW w:w="1559" w:type="dxa"/>
          </w:tcPr>
          <w:p w14:paraId="12624265" w14:textId="77777777" w:rsidR="002A16F7" w:rsidRPr="007E1BC8" w:rsidRDefault="002A16F7" w:rsidP="00F15D49">
            <w:pPr>
              <w:pStyle w:val="FSTableText"/>
              <w:keepNext/>
              <w:keepLines/>
              <w:jc w:val="right"/>
            </w:pPr>
            <w:r>
              <w:t>&lt;0.05</w:t>
            </w:r>
          </w:p>
        </w:tc>
      </w:tr>
      <w:tr w:rsidR="002A16F7" w:rsidRPr="007E1BC8" w14:paraId="3296F097" w14:textId="77777777" w:rsidTr="004C3141">
        <w:tc>
          <w:tcPr>
            <w:tcW w:w="2122" w:type="dxa"/>
          </w:tcPr>
          <w:p w14:paraId="4D9D35C0" w14:textId="77777777" w:rsidR="002A16F7" w:rsidRPr="007E1BC8" w:rsidRDefault="002A16F7" w:rsidP="00F15D49">
            <w:pPr>
              <w:pStyle w:val="FSTableText"/>
              <w:keepNext/>
              <w:keepLines/>
            </w:pPr>
            <w:r w:rsidRPr="007E1BC8">
              <w:t>Isoleucine*</w:t>
            </w:r>
            <w:r>
              <w:t xml:space="preserve"> </w:t>
            </w:r>
          </w:p>
        </w:tc>
        <w:tc>
          <w:tcPr>
            <w:tcW w:w="1559" w:type="dxa"/>
          </w:tcPr>
          <w:p w14:paraId="2323E1B7" w14:textId="77777777" w:rsidR="002A16F7" w:rsidRPr="007E1BC8" w:rsidRDefault="002A16F7" w:rsidP="00F15D49">
            <w:pPr>
              <w:pStyle w:val="FSTableText"/>
              <w:keepNext/>
              <w:keepLines/>
              <w:jc w:val="right"/>
            </w:pPr>
            <w:r>
              <w:t>3.52</w:t>
            </w:r>
          </w:p>
        </w:tc>
      </w:tr>
      <w:tr w:rsidR="002A16F7" w:rsidRPr="007E1BC8" w14:paraId="29C80983" w14:textId="77777777" w:rsidTr="004C3141">
        <w:tc>
          <w:tcPr>
            <w:tcW w:w="2122" w:type="dxa"/>
          </w:tcPr>
          <w:p w14:paraId="639892CA" w14:textId="77777777" w:rsidR="002A16F7" w:rsidRPr="007E1BC8" w:rsidRDefault="002A16F7" w:rsidP="00F15D49">
            <w:pPr>
              <w:pStyle w:val="FSTableText"/>
              <w:keepNext/>
              <w:keepLines/>
            </w:pPr>
            <w:r w:rsidRPr="007E1BC8">
              <w:t>Leucine*</w:t>
            </w:r>
            <w:r>
              <w:t xml:space="preserve"> </w:t>
            </w:r>
          </w:p>
        </w:tc>
        <w:tc>
          <w:tcPr>
            <w:tcW w:w="1559" w:type="dxa"/>
          </w:tcPr>
          <w:p w14:paraId="6F444997" w14:textId="77777777" w:rsidR="002A16F7" w:rsidRPr="007E1BC8" w:rsidRDefault="002A16F7" w:rsidP="00F15D49">
            <w:pPr>
              <w:pStyle w:val="FSTableText"/>
              <w:keepNext/>
              <w:keepLines/>
              <w:jc w:val="right"/>
            </w:pPr>
            <w:r>
              <w:t>6.84</w:t>
            </w:r>
          </w:p>
        </w:tc>
      </w:tr>
      <w:tr w:rsidR="002A16F7" w:rsidRPr="007E1BC8" w14:paraId="0B282893" w14:textId="77777777" w:rsidTr="004C3141">
        <w:tc>
          <w:tcPr>
            <w:tcW w:w="2122" w:type="dxa"/>
          </w:tcPr>
          <w:p w14:paraId="7A21B08A" w14:textId="77777777" w:rsidR="002A16F7" w:rsidRPr="007E1BC8" w:rsidRDefault="002A16F7" w:rsidP="00F15D49">
            <w:pPr>
              <w:pStyle w:val="FSTableText"/>
              <w:keepNext/>
              <w:keepLines/>
            </w:pPr>
            <w:r w:rsidRPr="007E1BC8">
              <w:t>Lysine*</w:t>
            </w:r>
            <w:r>
              <w:t xml:space="preserve"> </w:t>
            </w:r>
          </w:p>
        </w:tc>
        <w:tc>
          <w:tcPr>
            <w:tcW w:w="1559" w:type="dxa"/>
          </w:tcPr>
          <w:p w14:paraId="797EA90C" w14:textId="77777777" w:rsidR="002A16F7" w:rsidRPr="007E1BC8" w:rsidRDefault="002A16F7" w:rsidP="00F15D49">
            <w:pPr>
              <w:pStyle w:val="FSTableText"/>
              <w:keepNext/>
              <w:keepLines/>
              <w:jc w:val="right"/>
            </w:pPr>
            <w:r>
              <w:t>6.08</w:t>
            </w:r>
          </w:p>
        </w:tc>
      </w:tr>
      <w:tr w:rsidR="002A16F7" w:rsidRPr="007E1BC8" w14:paraId="70DF84F8" w14:textId="77777777" w:rsidTr="004C3141">
        <w:tc>
          <w:tcPr>
            <w:tcW w:w="2122" w:type="dxa"/>
          </w:tcPr>
          <w:p w14:paraId="1EA94295" w14:textId="77777777" w:rsidR="002A16F7" w:rsidRPr="007E1BC8" w:rsidRDefault="002A16F7" w:rsidP="00F15D49">
            <w:pPr>
              <w:pStyle w:val="FSTableText"/>
              <w:keepNext/>
              <w:keepLines/>
            </w:pPr>
            <w:r w:rsidRPr="007E1BC8">
              <w:t>Ornithine</w:t>
            </w:r>
            <w:r>
              <w:t xml:space="preserve"> </w:t>
            </w:r>
          </w:p>
        </w:tc>
        <w:tc>
          <w:tcPr>
            <w:tcW w:w="1559" w:type="dxa"/>
          </w:tcPr>
          <w:p w14:paraId="5E6C03ED" w14:textId="77777777" w:rsidR="002A16F7" w:rsidRPr="007E1BC8" w:rsidRDefault="002A16F7" w:rsidP="00F15D49">
            <w:pPr>
              <w:pStyle w:val="FSTableText"/>
              <w:keepNext/>
              <w:keepLines/>
              <w:jc w:val="right"/>
            </w:pPr>
            <w:r>
              <w:t>&lt;0.05</w:t>
            </w:r>
          </w:p>
        </w:tc>
      </w:tr>
      <w:tr w:rsidR="002A16F7" w:rsidRPr="007E1BC8" w14:paraId="01810FAF" w14:textId="77777777" w:rsidTr="004C3141">
        <w:tc>
          <w:tcPr>
            <w:tcW w:w="2122" w:type="dxa"/>
          </w:tcPr>
          <w:p w14:paraId="49FD112F" w14:textId="77777777" w:rsidR="002A16F7" w:rsidRPr="007E1BC8" w:rsidRDefault="002A16F7" w:rsidP="00F15D49">
            <w:pPr>
              <w:pStyle w:val="FSTableText"/>
              <w:keepNext/>
              <w:keepLines/>
            </w:pPr>
            <w:r w:rsidRPr="007E1BC8">
              <w:t>Phenylalanine*</w:t>
            </w:r>
            <w:r>
              <w:t xml:space="preserve"> </w:t>
            </w:r>
          </w:p>
        </w:tc>
        <w:tc>
          <w:tcPr>
            <w:tcW w:w="1559" w:type="dxa"/>
          </w:tcPr>
          <w:p w14:paraId="0C8911EB" w14:textId="77777777" w:rsidR="002A16F7" w:rsidRPr="007E1BC8" w:rsidRDefault="002A16F7" w:rsidP="00F15D49">
            <w:pPr>
              <w:pStyle w:val="FSTableText"/>
              <w:keepNext/>
              <w:keepLines/>
              <w:jc w:val="right"/>
            </w:pPr>
            <w:r>
              <w:t>3.65</w:t>
            </w:r>
          </w:p>
        </w:tc>
      </w:tr>
      <w:tr w:rsidR="002A16F7" w:rsidRPr="007E1BC8" w14:paraId="24B12034" w14:textId="77777777" w:rsidTr="004C3141">
        <w:tc>
          <w:tcPr>
            <w:tcW w:w="2122" w:type="dxa"/>
          </w:tcPr>
          <w:p w14:paraId="4F435F9A" w14:textId="77777777" w:rsidR="002A16F7" w:rsidRPr="007E1BC8" w:rsidRDefault="002A16F7" w:rsidP="00F15D49">
            <w:pPr>
              <w:pStyle w:val="FSTableText"/>
              <w:keepNext/>
              <w:keepLines/>
            </w:pPr>
            <w:r w:rsidRPr="007E1BC8">
              <w:t>Proline</w:t>
            </w:r>
            <w:r>
              <w:t xml:space="preserve"> </w:t>
            </w:r>
          </w:p>
        </w:tc>
        <w:tc>
          <w:tcPr>
            <w:tcW w:w="1559" w:type="dxa"/>
          </w:tcPr>
          <w:p w14:paraId="66B7652B" w14:textId="77777777" w:rsidR="002A16F7" w:rsidRPr="007E1BC8" w:rsidRDefault="002A16F7" w:rsidP="00F15D49">
            <w:pPr>
              <w:pStyle w:val="FSTableText"/>
              <w:keepNext/>
              <w:keepLines/>
              <w:jc w:val="right"/>
            </w:pPr>
            <w:r>
              <w:t>6.57</w:t>
            </w:r>
          </w:p>
        </w:tc>
      </w:tr>
      <w:tr w:rsidR="002A16F7" w:rsidRPr="007E1BC8" w14:paraId="1551CAA1" w14:textId="77777777" w:rsidTr="004C3141">
        <w:tc>
          <w:tcPr>
            <w:tcW w:w="2122" w:type="dxa"/>
          </w:tcPr>
          <w:p w14:paraId="3A2D2EDA" w14:textId="77777777" w:rsidR="002A16F7" w:rsidRPr="007E1BC8" w:rsidRDefault="002A16F7" w:rsidP="00F15D49">
            <w:pPr>
              <w:pStyle w:val="FSTableText"/>
              <w:keepNext/>
              <w:keepLines/>
            </w:pPr>
            <w:r w:rsidRPr="007E1BC8">
              <w:t>Serine</w:t>
            </w:r>
            <w:r>
              <w:t xml:space="preserve"> </w:t>
            </w:r>
          </w:p>
        </w:tc>
        <w:tc>
          <w:tcPr>
            <w:tcW w:w="1559" w:type="dxa"/>
          </w:tcPr>
          <w:p w14:paraId="726B315E" w14:textId="77777777" w:rsidR="002A16F7" w:rsidRPr="007E1BC8" w:rsidRDefault="002A16F7" w:rsidP="00F15D49">
            <w:pPr>
              <w:pStyle w:val="FSTableText"/>
              <w:keepNext/>
              <w:keepLines/>
              <w:jc w:val="right"/>
            </w:pPr>
            <w:r>
              <w:t>3.91</w:t>
            </w:r>
          </w:p>
        </w:tc>
      </w:tr>
      <w:tr w:rsidR="002A16F7" w:rsidRPr="007E1BC8" w14:paraId="037A0357" w14:textId="77777777" w:rsidTr="004C3141">
        <w:tc>
          <w:tcPr>
            <w:tcW w:w="2122" w:type="dxa"/>
          </w:tcPr>
          <w:p w14:paraId="7DD7301E" w14:textId="77777777" w:rsidR="002A16F7" w:rsidRPr="007E1BC8" w:rsidRDefault="002A16F7" w:rsidP="00F15D49">
            <w:pPr>
              <w:pStyle w:val="FSTableText"/>
              <w:keepNext/>
              <w:keepLines/>
            </w:pPr>
            <w:r w:rsidRPr="007E1BC8">
              <w:t>Threonine*</w:t>
            </w:r>
            <w:r>
              <w:t xml:space="preserve"> </w:t>
            </w:r>
          </w:p>
        </w:tc>
        <w:tc>
          <w:tcPr>
            <w:tcW w:w="1559" w:type="dxa"/>
          </w:tcPr>
          <w:p w14:paraId="435DE07D" w14:textId="77777777" w:rsidR="002A16F7" w:rsidRPr="007E1BC8" w:rsidRDefault="002A16F7" w:rsidP="00F15D49">
            <w:pPr>
              <w:pStyle w:val="FSTableText"/>
              <w:keepNext/>
              <w:keepLines/>
              <w:jc w:val="right"/>
            </w:pPr>
            <w:r>
              <w:t>3.73</w:t>
            </w:r>
          </w:p>
        </w:tc>
      </w:tr>
      <w:tr w:rsidR="002A16F7" w:rsidRPr="007E1BC8" w14:paraId="3EF3EC0C" w14:textId="77777777" w:rsidTr="004C3141">
        <w:tc>
          <w:tcPr>
            <w:tcW w:w="2122" w:type="dxa"/>
          </w:tcPr>
          <w:p w14:paraId="7ADED19B" w14:textId="77777777" w:rsidR="002A16F7" w:rsidRPr="007E1BC8" w:rsidRDefault="002A16F7" w:rsidP="00F15D49">
            <w:pPr>
              <w:pStyle w:val="FSTableText"/>
              <w:keepNext/>
              <w:keepLines/>
            </w:pPr>
            <w:r w:rsidRPr="007E1BC8">
              <w:t>Tyrosine</w:t>
            </w:r>
            <w:r>
              <w:t xml:space="preserve"> </w:t>
            </w:r>
          </w:p>
        </w:tc>
        <w:tc>
          <w:tcPr>
            <w:tcW w:w="1559" w:type="dxa"/>
          </w:tcPr>
          <w:p w14:paraId="511C1F91" w14:textId="77777777" w:rsidR="002A16F7" w:rsidRPr="007E1BC8" w:rsidRDefault="002A16F7" w:rsidP="00F15D49">
            <w:pPr>
              <w:pStyle w:val="FSTableText"/>
              <w:keepNext/>
              <w:keepLines/>
              <w:jc w:val="right"/>
            </w:pPr>
            <w:r>
              <w:t>1.96</w:t>
            </w:r>
          </w:p>
        </w:tc>
      </w:tr>
      <w:tr w:rsidR="002A16F7" w:rsidRPr="007E1BC8" w14:paraId="6AC968BC" w14:textId="77777777" w:rsidTr="004C3141">
        <w:tc>
          <w:tcPr>
            <w:tcW w:w="2122" w:type="dxa"/>
          </w:tcPr>
          <w:p w14:paraId="2EB35131" w14:textId="77777777" w:rsidR="002A16F7" w:rsidRPr="007E1BC8" w:rsidRDefault="002A16F7" w:rsidP="00F15D49">
            <w:pPr>
              <w:pStyle w:val="FSTableText"/>
              <w:keepNext/>
              <w:keepLines/>
            </w:pPr>
            <w:r w:rsidRPr="007E1BC8">
              <w:t>Valine*</w:t>
            </w:r>
            <w:r>
              <w:t xml:space="preserve"> </w:t>
            </w:r>
          </w:p>
        </w:tc>
        <w:tc>
          <w:tcPr>
            <w:tcW w:w="1559" w:type="dxa"/>
          </w:tcPr>
          <w:p w14:paraId="303E8D8F" w14:textId="77777777" w:rsidR="002A16F7" w:rsidRPr="007E1BC8" w:rsidRDefault="002A16F7" w:rsidP="00F15D49">
            <w:pPr>
              <w:pStyle w:val="FSTableText"/>
              <w:keepNext/>
              <w:keepLines/>
              <w:jc w:val="right"/>
            </w:pPr>
            <w:r>
              <w:t>4.69</w:t>
            </w:r>
          </w:p>
        </w:tc>
      </w:tr>
      <w:tr w:rsidR="002A16F7" w:rsidRPr="007E1BC8" w14:paraId="548ADE54" w14:textId="77777777" w:rsidTr="004C3141">
        <w:tc>
          <w:tcPr>
            <w:tcW w:w="2122" w:type="dxa"/>
          </w:tcPr>
          <w:p w14:paraId="4BC3E091" w14:textId="77777777" w:rsidR="002A16F7" w:rsidRPr="007E1BC8" w:rsidRDefault="002A16F7" w:rsidP="00F15D49">
            <w:pPr>
              <w:pStyle w:val="FSTableText"/>
              <w:keepNext/>
              <w:keepLines/>
            </w:pPr>
            <w:r w:rsidRPr="007E1BC8">
              <w:t>Cysteine</w:t>
            </w:r>
            <w:r>
              <w:t xml:space="preserve"> </w:t>
            </w:r>
          </w:p>
        </w:tc>
        <w:tc>
          <w:tcPr>
            <w:tcW w:w="1559" w:type="dxa"/>
          </w:tcPr>
          <w:p w14:paraId="348B06A6" w14:textId="77777777" w:rsidR="002A16F7" w:rsidRPr="007E1BC8" w:rsidRDefault="002A16F7" w:rsidP="00F15D49">
            <w:pPr>
              <w:pStyle w:val="FSTableText"/>
              <w:keepNext/>
              <w:keepLines/>
              <w:jc w:val="right"/>
            </w:pPr>
            <w:r>
              <w:t>3.51</w:t>
            </w:r>
          </w:p>
        </w:tc>
      </w:tr>
      <w:tr w:rsidR="002A16F7" w:rsidRPr="007E1BC8" w14:paraId="64B2A1E9" w14:textId="77777777" w:rsidTr="004C3141">
        <w:tc>
          <w:tcPr>
            <w:tcW w:w="2122" w:type="dxa"/>
          </w:tcPr>
          <w:p w14:paraId="6E80160D" w14:textId="77777777" w:rsidR="002A16F7" w:rsidRPr="007E1BC8" w:rsidRDefault="002A16F7" w:rsidP="00F15D49">
            <w:pPr>
              <w:pStyle w:val="FSTableText"/>
              <w:keepNext/>
              <w:keepLines/>
            </w:pPr>
            <w:r w:rsidRPr="007E1BC8">
              <w:t>Methionine*</w:t>
            </w:r>
            <w:r>
              <w:t xml:space="preserve"> </w:t>
            </w:r>
          </w:p>
        </w:tc>
        <w:tc>
          <w:tcPr>
            <w:tcW w:w="1559" w:type="dxa"/>
          </w:tcPr>
          <w:p w14:paraId="42DAF33F" w14:textId="77777777" w:rsidR="002A16F7" w:rsidRPr="007E1BC8" w:rsidRDefault="002A16F7" w:rsidP="00F15D49">
            <w:pPr>
              <w:pStyle w:val="FSTableText"/>
              <w:keepNext/>
              <w:keepLines/>
              <w:jc w:val="right"/>
            </w:pPr>
            <w:r>
              <w:t>2.06</w:t>
            </w:r>
          </w:p>
        </w:tc>
      </w:tr>
      <w:tr w:rsidR="002A16F7" w:rsidRPr="007E1BC8" w14:paraId="6C351007" w14:textId="77777777" w:rsidTr="004C3141">
        <w:tc>
          <w:tcPr>
            <w:tcW w:w="2122" w:type="dxa"/>
          </w:tcPr>
          <w:p w14:paraId="33FA424F" w14:textId="77777777" w:rsidR="002A16F7" w:rsidRPr="007E1BC8" w:rsidRDefault="002A16F7" w:rsidP="00F15D49">
            <w:pPr>
              <w:pStyle w:val="FSTableText"/>
              <w:keepNext/>
              <w:keepLines/>
            </w:pPr>
            <w:r w:rsidRPr="007E1BC8">
              <w:t>Tryptophan*</w:t>
            </w:r>
            <w:r>
              <w:t xml:space="preserve"> </w:t>
            </w:r>
          </w:p>
        </w:tc>
        <w:tc>
          <w:tcPr>
            <w:tcW w:w="1559" w:type="dxa"/>
          </w:tcPr>
          <w:p w14:paraId="22CEA24C" w14:textId="77777777" w:rsidR="002A16F7" w:rsidRPr="007E1BC8" w:rsidRDefault="002A16F7" w:rsidP="00F15D49">
            <w:pPr>
              <w:pStyle w:val="FSTableText"/>
              <w:keepNext/>
              <w:keepLines/>
              <w:jc w:val="right"/>
            </w:pPr>
            <w:r>
              <w:t>1.36</w:t>
            </w:r>
          </w:p>
        </w:tc>
      </w:tr>
    </w:tbl>
    <w:p w14:paraId="4AB4D541" w14:textId="1E45A45E" w:rsidR="002A16F7" w:rsidRDefault="002A16F7" w:rsidP="00F15D49">
      <w:pPr>
        <w:keepNext/>
        <w:keepLines/>
        <w:rPr>
          <w:rFonts w:cs="Arial"/>
          <w:sz w:val="18"/>
          <w:szCs w:val="18"/>
        </w:rPr>
      </w:pPr>
      <w:r w:rsidRPr="007E1BC8">
        <w:rPr>
          <w:rFonts w:cs="Arial"/>
          <w:sz w:val="18"/>
          <w:szCs w:val="18"/>
        </w:rPr>
        <w:t>* Essential amino acids</w:t>
      </w:r>
      <w:r w:rsidR="001646CE">
        <w:rPr>
          <w:rFonts w:cs="Arial"/>
          <w:sz w:val="18"/>
          <w:szCs w:val="18"/>
        </w:rPr>
        <w:t>.</w:t>
      </w:r>
    </w:p>
    <w:p w14:paraId="1665EA12" w14:textId="77777777" w:rsidR="002A16F7" w:rsidRPr="00F15D49" w:rsidRDefault="002A16F7" w:rsidP="002A16F7">
      <w:pPr>
        <w:rPr>
          <w:rFonts w:cs="Arial"/>
          <w:szCs w:val="18"/>
        </w:rPr>
      </w:pPr>
    </w:p>
    <w:p w14:paraId="5ED164A4" w14:textId="77777777" w:rsidR="002A16F7" w:rsidRPr="00F15D49" w:rsidRDefault="002A16F7" w:rsidP="002A16F7">
      <w:pPr>
        <w:rPr>
          <w:rFonts w:cs="Arial"/>
          <w:szCs w:val="18"/>
        </w:rPr>
      </w:pPr>
    </w:p>
    <w:p w14:paraId="220ED8F2" w14:textId="0ADA10E1" w:rsidR="002A16F7" w:rsidRDefault="002A16F7" w:rsidP="00F15D49">
      <w:pPr>
        <w:pStyle w:val="FSTableTitle"/>
        <w:keepNext/>
        <w:keepLines/>
        <w:rPr>
          <w:b w:val="0"/>
          <w:i/>
          <w:vertAlign w:val="superscript"/>
        </w:rPr>
      </w:pPr>
      <w:r w:rsidRPr="005021AA">
        <w:rPr>
          <w:i/>
        </w:rPr>
        <w:t xml:space="preserve">Table </w:t>
      </w:r>
      <w:r w:rsidR="00B429B6" w:rsidRPr="005021AA">
        <w:rPr>
          <w:i/>
        </w:rPr>
        <w:t>4</w:t>
      </w:r>
      <w:r w:rsidRPr="005021AA">
        <w:rPr>
          <w:i/>
        </w:rPr>
        <w:t>.2</w:t>
      </w:r>
      <w:r w:rsidR="00F6211B">
        <w:rPr>
          <w:i/>
        </w:rPr>
        <w:tab/>
      </w:r>
      <w:r w:rsidRPr="005021AA">
        <w:rPr>
          <w:b w:val="0"/>
          <w:i/>
        </w:rPr>
        <w:t>Protein quality of rape</w:t>
      </w:r>
      <w:r w:rsidR="00226EC0">
        <w:rPr>
          <w:b w:val="0"/>
          <w:i/>
        </w:rPr>
        <w:t>seed protein isolate (CanolaPRO</w:t>
      </w:r>
      <w:r w:rsidRPr="005021AA">
        <w:rPr>
          <w:b w:val="0"/>
          <w:i/>
        </w:rPr>
        <w:t>), soy protein isolate and a casein control</w:t>
      </w:r>
      <w:r w:rsidRPr="005021AA">
        <w:rPr>
          <w:b w:val="0"/>
          <w:i/>
          <w:vertAlign w:val="superscript"/>
        </w:rPr>
        <w:t>1</w:t>
      </w:r>
    </w:p>
    <w:p w14:paraId="3B80190E" w14:textId="77777777" w:rsidR="00F15D49" w:rsidRPr="00F15D49" w:rsidRDefault="00F15D49" w:rsidP="00F15D49">
      <w:pPr>
        <w:keepNext/>
        <w:keepLines/>
      </w:pPr>
    </w:p>
    <w:tbl>
      <w:tblPr>
        <w:tblStyle w:val="TableGrid"/>
        <w:tblW w:w="7248" w:type="dxa"/>
        <w:tblLook w:val="04A0" w:firstRow="1" w:lastRow="0" w:firstColumn="1" w:lastColumn="0" w:noHBand="0" w:noVBand="1"/>
        <w:tblCaption w:val="Table 4.2 Protein quality of rapeseed protein isolate (CanolaPRO™), soy protein isolate and a casein control"/>
        <w:tblDescription w:val="Table 4.2 contains 4 columns. Column 1 lists four row headings including amino acid score, true protein digetstibility (%), actual PDCAAS (%) and PDCAAS (%) after being truncated to 100%. Column 2 lists the respective values for CanolaPROTM. Column 3 lists the respective values for Supro 515TM (a soy protein isolate). Column 4 lists the respective values for a casein control."/>
      </w:tblPr>
      <w:tblGrid>
        <w:gridCol w:w="1812"/>
        <w:gridCol w:w="1812"/>
        <w:gridCol w:w="1812"/>
        <w:gridCol w:w="1812"/>
      </w:tblGrid>
      <w:tr w:rsidR="002A16F7" w:rsidRPr="007E1BC8" w14:paraId="2A37A9B1" w14:textId="77777777" w:rsidTr="00852344">
        <w:tc>
          <w:tcPr>
            <w:tcW w:w="1812" w:type="dxa"/>
          </w:tcPr>
          <w:p w14:paraId="2EA58EF0" w14:textId="77777777" w:rsidR="002A16F7" w:rsidRPr="0081144C" w:rsidRDefault="002A16F7" w:rsidP="00F15D49">
            <w:pPr>
              <w:keepNext/>
              <w:keepLines/>
              <w:rPr>
                <w:rFonts w:cs="Arial"/>
                <w:sz w:val="20"/>
                <w:szCs w:val="20"/>
              </w:rPr>
            </w:pPr>
          </w:p>
        </w:tc>
        <w:tc>
          <w:tcPr>
            <w:tcW w:w="1812" w:type="dxa"/>
          </w:tcPr>
          <w:p w14:paraId="20694A8E" w14:textId="389FA7F8" w:rsidR="002A16F7" w:rsidRPr="006160C2" w:rsidRDefault="002A16F7" w:rsidP="00F15D49">
            <w:pPr>
              <w:keepNext/>
              <w:keepLines/>
              <w:jc w:val="right"/>
              <w:rPr>
                <w:rFonts w:cs="Arial"/>
                <w:b/>
                <w:sz w:val="20"/>
                <w:szCs w:val="20"/>
              </w:rPr>
            </w:pPr>
            <w:r w:rsidRPr="006160C2">
              <w:rPr>
                <w:rFonts w:cs="Arial"/>
                <w:b/>
                <w:sz w:val="20"/>
                <w:szCs w:val="20"/>
              </w:rPr>
              <w:t>Rape</w:t>
            </w:r>
            <w:r w:rsidR="00226EC0">
              <w:rPr>
                <w:rFonts w:cs="Arial"/>
                <w:b/>
                <w:sz w:val="20"/>
                <w:szCs w:val="20"/>
              </w:rPr>
              <w:t>seed protein isolate (CanolaPRO</w:t>
            </w:r>
            <w:r w:rsidRPr="006160C2">
              <w:rPr>
                <w:rFonts w:cs="Arial"/>
                <w:b/>
                <w:sz w:val="20"/>
                <w:szCs w:val="20"/>
              </w:rPr>
              <w:t>)</w:t>
            </w:r>
          </w:p>
        </w:tc>
        <w:tc>
          <w:tcPr>
            <w:tcW w:w="1812" w:type="dxa"/>
          </w:tcPr>
          <w:p w14:paraId="124CF2C5" w14:textId="77777777" w:rsidR="0009796E" w:rsidRDefault="002A16F7" w:rsidP="00F15D49">
            <w:pPr>
              <w:keepNext/>
              <w:keepLines/>
              <w:jc w:val="right"/>
              <w:rPr>
                <w:rFonts w:cs="Arial"/>
                <w:b/>
                <w:sz w:val="20"/>
                <w:szCs w:val="20"/>
              </w:rPr>
            </w:pPr>
            <w:r w:rsidRPr="006160C2">
              <w:rPr>
                <w:rFonts w:cs="Arial"/>
                <w:b/>
                <w:sz w:val="20"/>
                <w:szCs w:val="20"/>
              </w:rPr>
              <w:t xml:space="preserve">Soy protein isolate </w:t>
            </w:r>
          </w:p>
          <w:p w14:paraId="025DFA5D" w14:textId="0968BDFB" w:rsidR="002A16F7" w:rsidRPr="006160C2" w:rsidRDefault="002A16F7" w:rsidP="00F15D49">
            <w:pPr>
              <w:keepNext/>
              <w:keepLines/>
              <w:jc w:val="right"/>
              <w:rPr>
                <w:rFonts w:cs="Arial"/>
                <w:b/>
                <w:sz w:val="20"/>
                <w:szCs w:val="20"/>
              </w:rPr>
            </w:pPr>
            <w:r w:rsidRPr="006160C2">
              <w:rPr>
                <w:rFonts w:cs="Arial"/>
                <w:b/>
                <w:sz w:val="20"/>
                <w:szCs w:val="20"/>
              </w:rPr>
              <w:t>(Supro 515™)</w:t>
            </w:r>
          </w:p>
        </w:tc>
        <w:tc>
          <w:tcPr>
            <w:tcW w:w="1812" w:type="dxa"/>
          </w:tcPr>
          <w:p w14:paraId="6A5A6DEA" w14:textId="77777777" w:rsidR="002A16F7" w:rsidRPr="006160C2" w:rsidRDefault="002A16F7" w:rsidP="00F15D49">
            <w:pPr>
              <w:keepNext/>
              <w:keepLines/>
              <w:jc w:val="right"/>
              <w:rPr>
                <w:rFonts w:cs="Arial"/>
                <w:b/>
                <w:sz w:val="20"/>
                <w:szCs w:val="20"/>
              </w:rPr>
            </w:pPr>
            <w:r w:rsidRPr="006160C2">
              <w:rPr>
                <w:rFonts w:cs="Arial"/>
                <w:b/>
                <w:sz w:val="20"/>
                <w:szCs w:val="20"/>
              </w:rPr>
              <w:t>Casein control</w:t>
            </w:r>
          </w:p>
        </w:tc>
      </w:tr>
      <w:tr w:rsidR="002A16F7" w:rsidRPr="007E1BC8" w14:paraId="32AEA2EF" w14:textId="77777777" w:rsidTr="006160C2">
        <w:tc>
          <w:tcPr>
            <w:tcW w:w="1812" w:type="dxa"/>
          </w:tcPr>
          <w:p w14:paraId="3475A333" w14:textId="641E0C39" w:rsidR="002A16F7" w:rsidRPr="0081144C" w:rsidRDefault="002A16F7" w:rsidP="00F15D49">
            <w:pPr>
              <w:keepNext/>
              <w:keepLines/>
              <w:rPr>
                <w:rFonts w:cs="Arial"/>
                <w:sz w:val="20"/>
                <w:szCs w:val="20"/>
              </w:rPr>
            </w:pPr>
            <w:r w:rsidRPr="0081144C">
              <w:rPr>
                <w:rFonts w:cs="Arial"/>
                <w:sz w:val="20"/>
                <w:szCs w:val="20"/>
              </w:rPr>
              <w:t>Amino acid score</w:t>
            </w:r>
          </w:p>
        </w:tc>
        <w:tc>
          <w:tcPr>
            <w:tcW w:w="1812" w:type="dxa"/>
          </w:tcPr>
          <w:p w14:paraId="2002A256" w14:textId="3F092519" w:rsidR="002A16F7" w:rsidRPr="0081144C" w:rsidRDefault="002A16F7" w:rsidP="00B06688">
            <w:pPr>
              <w:keepNext/>
              <w:keepLines/>
              <w:tabs>
                <w:tab w:val="decimal" w:pos="1134"/>
              </w:tabs>
              <w:rPr>
                <w:rFonts w:cs="Arial"/>
                <w:sz w:val="20"/>
                <w:szCs w:val="20"/>
              </w:rPr>
            </w:pPr>
            <w:r w:rsidRPr="0081144C">
              <w:rPr>
                <w:rFonts w:cs="Arial"/>
                <w:sz w:val="20"/>
                <w:szCs w:val="20"/>
              </w:rPr>
              <w:t>1.1</w:t>
            </w:r>
            <w:r w:rsidR="00265F40">
              <w:rPr>
                <w:rFonts w:cs="Arial"/>
                <w:sz w:val="20"/>
                <w:szCs w:val="20"/>
              </w:rPr>
              <w:t>8</w:t>
            </w:r>
          </w:p>
        </w:tc>
        <w:tc>
          <w:tcPr>
            <w:tcW w:w="1812" w:type="dxa"/>
          </w:tcPr>
          <w:p w14:paraId="201A89AC" w14:textId="5CE11216" w:rsidR="002A16F7" w:rsidRPr="0081144C" w:rsidRDefault="00265F40" w:rsidP="00B06688">
            <w:pPr>
              <w:keepNext/>
              <w:keepLines/>
              <w:tabs>
                <w:tab w:val="decimal" w:pos="1134"/>
              </w:tabs>
              <w:jc w:val="both"/>
              <w:rPr>
                <w:rFonts w:cs="Arial"/>
                <w:sz w:val="20"/>
                <w:szCs w:val="20"/>
              </w:rPr>
            </w:pPr>
            <w:r>
              <w:rPr>
                <w:rFonts w:cs="Arial"/>
                <w:sz w:val="20"/>
                <w:szCs w:val="20"/>
              </w:rPr>
              <w:t>1.00</w:t>
            </w:r>
          </w:p>
        </w:tc>
        <w:tc>
          <w:tcPr>
            <w:tcW w:w="1812" w:type="dxa"/>
          </w:tcPr>
          <w:p w14:paraId="35204973" w14:textId="417FC64F" w:rsidR="002A16F7" w:rsidRPr="0081144C" w:rsidRDefault="002A16F7" w:rsidP="00B06688">
            <w:pPr>
              <w:keepNext/>
              <w:keepLines/>
              <w:tabs>
                <w:tab w:val="decimal" w:pos="1134"/>
              </w:tabs>
              <w:jc w:val="both"/>
              <w:rPr>
                <w:rFonts w:cs="Arial"/>
                <w:sz w:val="20"/>
                <w:szCs w:val="20"/>
              </w:rPr>
            </w:pPr>
            <w:r w:rsidRPr="0081144C">
              <w:rPr>
                <w:rFonts w:cs="Arial"/>
                <w:sz w:val="20"/>
                <w:szCs w:val="20"/>
              </w:rPr>
              <w:t>1.3</w:t>
            </w:r>
            <w:r w:rsidR="00265F40">
              <w:rPr>
                <w:rFonts w:cs="Arial"/>
                <w:sz w:val="20"/>
                <w:szCs w:val="20"/>
              </w:rPr>
              <w:t>4</w:t>
            </w:r>
          </w:p>
        </w:tc>
      </w:tr>
      <w:tr w:rsidR="002A16F7" w:rsidRPr="007E1BC8" w14:paraId="1C4823E6" w14:textId="77777777" w:rsidTr="006160C2">
        <w:tc>
          <w:tcPr>
            <w:tcW w:w="1812" w:type="dxa"/>
          </w:tcPr>
          <w:p w14:paraId="70AD82B6" w14:textId="679229B0" w:rsidR="002A16F7" w:rsidRPr="0081144C" w:rsidRDefault="002A16F7" w:rsidP="00F15D49">
            <w:pPr>
              <w:keepNext/>
              <w:keepLines/>
              <w:rPr>
                <w:rFonts w:cs="Arial"/>
                <w:sz w:val="20"/>
                <w:szCs w:val="20"/>
              </w:rPr>
            </w:pPr>
            <w:r w:rsidRPr="0081144C">
              <w:rPr>
                <w:rFonts w:cs="Arial"/>
                <w:sz w:val="20"/>
                <w:szCs w:val="20"/>
              </w:rPr>
              <w:t>True protein digestibility</w:t>
            </w:r>
            <w:r w:rsidR="009771EE">
              <w:rPr>
                <w:rFonts w:cs="Arial"/>
                <w:sz w:val="20"/>
                <w:szCs w:val="20"/>
              </w:rPr>
              <w:t xml:space="preserve"> (%)</w:t>
            </w:r>
          </w:p>
        </w:tc>
        <w:tc>
          <w:tcPr>
            <w:tcW w:w="1812" w:type="dxa"/>
          </w:tcPr>
          <w:p w14:paraId="4B7C82CB" w14:textId="5DE7A940" w:rsidR="002A16F7" w:rsidRPr="0081144C" w:rsidRDefault="00F32A04" w:rsidP="00F15D49">
            <w:pPr>
              <w:keepNext/>
              <w:keepLines/>
              <w:tabs>
                <w:tab w:val="decimal" w:pos="1134"/>
              </w:tabs>
              <w:rPr>
                <w:rFonts w:cs="Arial"/>
                <w:sz w:val="20"/>
                <w:szCs w:val="20"/>
              </w:rPr>
            </w:pPr>
            <w:r>
              <w:rPr>
                <w:rFonts w:cs="Arial"/>
                <w:sz w:val="20"/>
                <w:szCs w:val="20"/>
              </w:rPr>
              <w:t>94.0</w:t>
            </w:r>
          </w:p>
        </w:tc>
        <w:tc>
          <w:tcPr>
            <w:tcW w:w="1812" w:type="dxa"/>
          </w:tcPr>
          <w:p w14:paraId="02B27732" w14:textId="1B54F350" w:rsidR="002A16F7" w:rsidRPr="0081144C" w:rsidRDefault="002A16F7" w:rsidP="00F15D49">
            <w:pPr>
              <w:keepNext/>
              <w:keepLines/>
              <w:tabs>
                <w:tab w:val="decimal" w:pos="1134"/>
              </w:tabs>
              <w:rPr>
                <w:rFonts w:cs="Arial"/>
                <w:sz w:val="20"/>
                <w:szCs w:val="20"/>
              </w:rPr>
            </w:pPr>
            <w:r w:rsidRPr="0081144C">
              <w:rPr>
                <w:rFonts w:cs="Arial"/>
                <w:sz w:val="20"/>
                <w:szCs w:val="20"/>
              </w:rPr>
              <w:t>96.2</w:t>
            </w:r>
          </w:p>
        </w:tc>
        <w:tc>
          <w:tcPr>
            <w:tcW w:w="1812" w:type="dxa"/>
          </w:tcPr>
          <w:p w14:paraId="13937DA7" w14:textId="25070F98" w:rsidR="002A16F7" w:rsidRPr="0081144C" w:rsidRDefault="002A16F7" w:rsidP="00F15D49">
            <w:pPr>
              <w:keepNext/>
              <w:keepLines/>
              <w:tabs>
                <w:tab w:val="decimal" w:pos="1134"/>
              </w:tabs>
              <w:rPr>
                <w:rFonts w:cs="Arial"/>
                <w:sz w:val="20"/>
                <w:szCs w:val="20"/>
              </w:rPr>
            </w:pPr>
            <w:r w:rsidRPr="0081144C">
              <w:rPr>
                <w:rFonts w:cs="Arial"/>
                <w:sz w:val="20"/>
                <w:szCs w:val="20"/>
              </w:rPr>
              <w:t>98.</w:t>
            </w:r>
            <w:r w:rsidR="00F32A04">
              <w:rPr>
                <w:rFonts w:cs="Arial"/>
                <w:sz w:val="20"/>
                <w:szCs w:val="20"/>
              </w:rPr>
              <w:t>2</w:t>
            </w:r>
          </w:p>
        </w:tc>
      </w:tr>
      <w:tr w:rsidR="002A16F7" w:rsidRPr="007E1BC8" w14:paraId="14FA8D9C" w14:textId="77777777" w:rsidTr="006160C2">
        <w:tc>
          <w:tcPr>
            <w:tcW w:w="1812" w:type="dxa"/>
          </w:tcPr>
          <w:p w14:paraId="1695E9D3" w14:textId="77777777" w:rsidR="002A16F7" w:rsidRPr="0081144C" w:rsidRDefault="002A16F7" w:rsidP="00F15D49">
            <w:pPr>
              <w:keepNext/>
              <w:keepLines/>
              <w:rPr>
                <w:rFonts w:cs="Arial"/>
                <w:sz w:val="20"/>
                <w:szCs w:val="20"/>
                <w:vertAlign w:val="superscript"/>
              </w:rPr>
            </w:pPr>
            <w:r w:rsidRPr="0081144C">
              <w:rPr>
                <w:rFonts w:cs="Arial"/>
                <w:sz w:val="20"/>
                <w:szCs w:val="20"/>
              </w:rPr>
              <w:t>Actual PDCAAS (%)</w:t>
            </w:r>
            <w:r w:rsidRPr="0081144C">
              <w:rPr>
                <w:rFonts w:cs="Arial"/>
                <w:sz w:val="20"/>
                <w:szCs w:val="20"/>
                <w:vertAlign w:val="superscript"/>
              </w:rPr>
              <w:t>2</w:t>
            </w:r>
          </w:p>
        </w:tc>
        <w:tc>
          <w:tcPr>
            <w:tcW w:w="1812" w:type="dxa"/>
          </w:tcPr>
          <w:p w14:paraId="10381122" w14:textId="354E9121" w:rsidR="002A16F7" w:rsidRPr="0081144C" w:rsidRDefault="002A16F7" w:rsidP="00F15D49">
            <w:pPr>
              <w:keepNext/>
              <w:keepLines/>
              <w:tabs>
                <w:tab w:val="decimal" w:pos="1134"/>
              </w:tabs>
              <w:rPr>
                <w:rFonts w:cs="Arial"/>
                <w:sz w:val="20"/>
                <w:szCs w:val="20"/>
              </w:rPr>
            </w:pPr>
            <w:r w:rsidRPr="0081144C">
              <w:rPr>
                <w:rFonts w:cs="Arial"/>
                <w:sz w:val="20"/>
                <w:szCs w:val="20"/>
              </w:rPr>
              <w:t>110</w:t>
            </w:r>
          </w:p>
        </w:tc>
        <w:tc>
          <w:tcPr>
            <w:tcW w:w="1812" w:type="dxa"/>
          </w:tcPr>
          <w:p w14:paraId="51F5F1C9" w14:textId="549E5CBB" w:rsidR="002A16F7" w:rsidRPr="0081144C" w:rsidRDefault="002A16F7" w:rsidP="00F15D49">
            <w:pPr>
              <w:keepNext/>
              <w:keepLines/>
              <w:tabs>
                <w:tab w:val="decimal" w:pos="1134"/>
              </w:tabs>
              <w:rPr>
                <w:rFonts w:cs="Arial"/>
                <w:sz w:val="20"/>
                <w:szCs w:val="20"/>
              </w:rPr>
            </w:pPr>
            <w:r w:rsidRPr="0081144C">
              <w:rPr>
                <w:rFonts w:cs="Arial"/>
                <w:sz w:val="20"/>
                <w:szCs w:val="20"/>
              </w:rPr>
              <w:t>9</w:t>
            </w:r>
            <w:r w:rsidR="00265F40">
              <w:rPr>
                <w:rFonts w:cs="Arial"/>
                <w:sz w:val="20"/>
                <w:szCs w:val="20"/>
              </w:rPr>
              <w:t>6</w:t>
            </w:r>
          </w:p>
        </w:tc>
        <w:tc>
          <w:tcPr>
            <w:tcW w:w="1812" w:type="dxa"/>
          </w:tcPr>
          <w:p w14:paraId="63497AD8" w14:textId="078DE60C" w:rsidR="002A16F7" w:rsidRPr="0081144C" w:rsidRDefault="002A16F7" w:rsidP="00F15D49">
            <w:pPr>
              <w:keepNext/>
              <w:keepLines/>
              <w:tabs>
                <w:tab w:val="decimal" w:pos="1134"/>
              </w:tabs>
              <w:rPr>
                <w:rFonts w:cs="Arial"/>
                <w:sz w:val="20"/>
                <w:szCs w:val="20"/>
              </w:rPr>
            </w:pPr>
            <w:r w:rsidRPr="0081144C">
              <w:rPr>
                <w:rFonts w:cs="Arial"/>
                <w:sz w:val="20"/>
                <w:szCs w:val="20"/>
              </w:rPr>
              <w:t>131</w:t>
            </w:r>
          </w:p>
        </w:tc>
      </w:tr>
      <w:tr w:rsidR="002A16F7" w:rsidRPr="007E1BC8" w14:paraId="376ECDC9" w14:textId="77777777" w:rsidTr="006160C2">
        <w:trPr>
          <w:trHeight w:val="65"/>
        </w:trPr>
        <w:tc>
          <w:tcPr>
            <w:tcW w:w="1812" w:type="dxa"/>
          </w:tcPr>
          <w:p w14:paraId="6B1744AE" w14:textId="77777777" w:rsidR="002A16F7" w:rsidRPr="0081144C" w:rsidRDefault="002A16F7" w:rsidP="00F15D49">
            <w:pPr>
              <w:keepNext/>
              <w:keepLines/>
              <w:rPr>
                <w:rFonts w:cs="Arial"/>
                <w:sz w:val="20"/>
                <w:szCs w:val="20"/>
              </w:rPr>
            </w:pPr>
            <w:r w:rsidRPr="0081144C">
              <w:rPr>
                <w:rFonts w:cs="Arial"/>
                <w:sz w:val="20"/>
                <w:szCs w:val="20"/>
              </w:rPr>
              <w:t>PDCAAS (%)</w:t>
            </w:r>
          </w:p>
        </w:tc>
        <w:tc>
          <w:tcPr>
            <w:tcW w:w="1812" w:type="dxa"/>
          </w:tcPr>
          <w:p w14:paraId="76B2AB16" w14:textId="69BF0750" w:rsidR="002A16F7" w:rsidRPr="0081144C" w:rsidRDefault="002A16F7" w:rsidP="00F15D49">
            <w:pPr>
              <w:keepNext/>
              <w:keepLines/>
              <w:tabs>
                <w:tab w:val="decimal" w:pos="1134"/>
              </w:tabs>
              <w:rPr>
                <w:rFonts w:cs="Arial"/>
                <w:sz w:val="20"/>
                <w:szCs w:val="20"/>
              </w:rPr>
            </w:pPr>
            <w:r w:rsidRPr="0081144C">
              <w:rPr>
                <w:sz w:val="20"/>
                <w:szCs w:val="20"/>
              </w:rPr>
              <w:t>100</w:t>
            </w:r>
          </w:p>
        </w:tc>
        <w:tc>
          <w:tcPr>
            <w:tcW w:w="1812" w:type="dxa"/>
          </w:tcPr>
          <w:p w14:paraId="3F5A7024" w14:textId="7A2A6F23" w:rsidR="002A16F7" w:rsidRPr="0081144C" w:rsidRDefault="002A16F7" w:rsidP="00F15D49">
            <w:pPr>
              <w:keepNext/>
              <w:keepLines/>
              <w:tabs>
                <w:tab w:val="decimal" w:pos="1134"/>
              </w:tabs>
              <w:rPr>
                <w:rFonts w:cs="Arial"/>
                <w:sz w:val="20"/>
                <w:szCs w:val="20"/>
              </w:rPr>
            </w:pPr>
            <w:r w:rsidRPr="0081144C">
              <w:rPr>
                <w:rFonts w:cs="Arial"/>
                <w:sz w:val="20"/>
                <w:szCs w:val="20"/>
              </w:rPr>
              <w:t>9</w:t>
            </w:r>
            <w:r w:rsidR="00265F40">
              <w:rPr>
                <w:rFonts w:cs="Arial"/>
                <w:sz w:val="20"/>
                <w:szCs w:val="20"/>
              </w:rPr>
              <w:t>6</w:t>
            </w:r>
          </w:p>
        </w:tc>
        <w:tc>
          <w:tcPr>
            <w:tcW w:w="1812" w:type="dxa"/>
          </w:tcPr>
          <w:p w14:paraId="0B8CE661" w14:textId="48F68361"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r>
    </w:tbl>
    <w:p w14:paraId="30D97ADA" w14:textId="28099979" w:rsidR="002A16F7" w:rsidRDefault="002A16F7" w:rsidP="00F15D49">
      <w:pPr>
        <w:keepNext/>
        <w:keepLines/>
        <w:rPr>
          <w:sz w:val="18"/>
          <w:szCs w:val="18"/>
          <w:vertAlign w:val="superscript"/>
        </w:rPr>
      </w:pPr>
      <w:r w:rsidRPr="00C21AB6">
        <w:rPr>
          <w:rFonts w:cs="Arial"/>
          <w:sz w:val="18"/>
          <w:szCs w:val="18"/>
        </w:rPr>
        <w:t xml:space="preserve">PDCAAS, </w:t>
      </w:r>
      <w:r w:rsidRPr="00C21AB6">
        <w:rPr>
          <w:sz w:val="18"/>
          <w:szCs w:val="18"/>
        </w:rPr>
        <w:t>protein digestibility corrected amino acid score</w:t>
      </w:r>
      <w:r>
        <w:rPr>
          <w:sz w:val="18"/>
          <w:szCs w:val="18"/>
        </w:rPr>
        <w:t xml:space="preserve"> </w:t>
      </w:r>
      <w:r w:rsidR="00344D0D">
        <w:rPr>
          <w:sz w:val="18"/>
          <w:szCs w:val="18"/>
        </w:rPr>
        <w:t>(= amino acid score x true protein digestibility)</w:t>
      </w:r>
      <w:r w:rsidR="001646CE">
        <w:rPr>
          <w:sz w:val="18"/>
          <w:szCs w:val="18"/>
        </w:rPr>
        <w:t>.</w:t>
      </w:r>
      <w:r w:rsidRPr="00052727">
        <w:rPr>
          <w:sz w:val="18"/>
          <w:szCs w:val="18"/>
          <w:vertAlign w:val="superscript"/>
        </w:rPr>
        <w:t xml:space="preserve"> </w:t>
      </w:r>
    </w:p>
    <w:p w14:paraId="224AC714" w14:textId="054EF423" w:rsidR="002A16F7" w:rsidRDefault="002A16F7" w:rsidP="00F15D49">
      <w:pPr>
        <w:keepNext/>
        <w:keepLines/>
        <w:rPr>
          <w:sz w:val="18"/>
          <w:szCs w:val="18"/>
        </w:rPr>
      </w:pPr>
      <w:r w:rsidRPr="00052727">
        <w:rPr>
          <w:sz w:val="18"/>
          <w:szCs w:val="18"/>
          <w:vertAlign w:val="superscript"/>
        </w:rPr>
        <w:t>1</w:t>
      </w:r>
      <w:r w:rsidRPr="00052727">
        <w:rPr>
          <w:sz w:val="18"/>
          <w:szCs w:val="18"/>
        </w:rPr>
        <w:t xml:space="preserve"> DSM study </w:t>
      </w:r>
      <w:r w:rsidR="00344D0D">
        <w:rPr>
          <w:sz w:val="18"/>
          <w:szCs w:val="18"/>
        </w:rPr>
        <w:t>number 44697</w:t>
      </w:r>
      <w:r w:rsidR="001646CE">
        <w:rPr>
          <w:sz w:val="18"/>
          <w:szCs w:val="18"/>
        </w:rPr>
        <w:t>.</w:t>
      </w:r>
      <w:r w:rsidR="00344D0D">
        <w:rPr>
          <w:sz w:val="18"/>
          <w:szCs w:val="18"/>
        </w:rPr>
        <w:t xml:space="preserve"> </w:t>
      </w:r>
    </w:p>
    <w:p w14:paraId="29C4017D" w14:textId="086D2079" w:rsidR="002A16F7" w:rsidRPr="00F32F30" w:rsidRDefault="002A16F7" w:rsidP="00F15D49">
      <w:pPr>
        <w:keepNext/>
        <w:keepLines/>
        <w:rPr>
          <w:sz w:val="18"/>
          <w:szCs w:val="18"/>
        </w:rPr>
      </w:pPr>
      <w:r>
        <w:rPr>
          <w:sz w:val="18"/>
          <w:szCs w:val="18"/>
          <w:vertAlign w:val="superscript"/>
        </w:rPr>
        <w:t xml:space="preserve">2 </w:t>
      </w:r>
      <w:r>
        <w:rPr>
          <w:sz w:val="18"/>
          <w:szCs w:val="18"/>
        </w:rPr>
        <w:t xml:space="preserve">Prior to truncation (PDCAAS values </w:t>
      </w:r>
      <w:r w:rsidR="00585EE9">
        <w:rPr>
          <w:sz w:val="18"/>
          <w:szCs w:val="18"/>
        </w:rPr>
        <w:t xml:space="preserve">greater than 100% </w:t>
      </w:r>
      <w:r>
        <w:rPr>
          <w:sz w:val="18"/>
          <w:szCs w:val="18"/>
        </w:rPr>
        <w:t>are truncated to 100%)</w:t>
      </w:r>
      <w:r w:rsidR="001646CE">
        <w:rPr>
          <w:sz w:val="18"/>
          <w:szCs w:val="18"/>
        </w:rPr>
        <w:t>.</w:t>
      </w:r>
    </w:p>
    <w:p w14:paraId="638EBB96" w14:textId="19BF47C3" w:rsidR="002A16F7" w:rsidRPr="00F15D49" w:rsidRDefault="002A16F7" w:rsidP="002A16F7">
      <w:pPr>
        <w:rPr>
          <w:rFonts w:cs="Arial"/>
          <w:szCs w:val="18"/>
        </w:rPr>
      </w:pPr>
    </w:p>
    <w:p w14:paraId="5A30C181" w14:textId="77777777" w:rsidR="00F15D49" w:rsidRPr="00F15D49" w:rsidRDefault="00F15D49" w:rsidP="002A16F7">
      <w:pPr>
        <w:rPr>
          <w:rFonts w:cs="Arial"/>
          <w:szCs w:val="18"/>
        </w:rPr>
      </w:pPr>
    </w:p>
    <w:p w14:paraId="75BF4A72" w14:textId="58ADF0DC" w:rsidR="002A16F7" w:rsidRDefault="002A16F7" w:rsidP="00F15D49">
      <w:pPr>
        <w:pStyle w:val="FSTableTitle"/>
        <w:keepNext/>
        <w:keepLines/>
        <w:rPr>
          <w:b w:val="0"/>
          <w:i/>
          <w:vertAlign w:val="superscript"/>
        </w:rPr>
      </w:pPr>
      <w:r w:rsidRPr="005021AA">
        <w:rPr>
          <w:i/>
        </w:rPr>
        <w:t xml:space="preserve">Table </w:t>
      </w:r>
      <w:r w:rsidR="00B429B6" w:rsidRPr="005021AA">
        <w:rPr>
          <w:i/>
        </w:rPr>
        <w:t>4</w:t>
      </w:r>
      <w:r w:rsidRPr="005021AA">
        <w:rPr>
          <w:i/>
        </w:rPr>
        <w:t>.3a</w:t>
      </w:r>
      <w:r w:rsidR="005021AA">
        <w:rPr>
          <w:i/>
        </w:rPr>
        <w:tab/>
      </w:r>
      <w:r w:rsidRPr="005021AA">
        <w:rPr>
          <w:b w:val="0"/>
          <w:i/>
        </w:rPr>
        <w:t>Protein quality of rapeseed protein isolate (Isolexx™ and Vitalexx™), soy protein isolate and a casein control</w:t>
      </w:r>
      <w:r w:rsidRPr="005021AA">
        <w:rPr>
          <w:b w:val="0"/>
          <w:i/>
          <w:vertAlign w:val="superscript"/>
        </w:rPr>
        <w:t>1</w:t>
      </w:r>
    </w:p>
    <w:p w14:paraId="698CA10F" w14:textId="77777777" w:rsidR="00F15D49" w:rsidRPr="00F15D49" w:rsidRDefault="00F15D49" w:rsidP="00F15D49">
      <w:pPr>
        <w:keepNext/>
        <w:keepLines/>
      </w:pPr>
    </w:p>
    <w:tbl>
      <w:tblPr>
        <w:tblStyle w:val="TableGrid"/>
        <w:tblW w:w="9060" w:type="dxa"/>
        <w:tblLook w:val="04A0" w:firstRow="1" w:lastRow="0" w:firstColumn="1" w:lastColumn="0" w:noHBand="0" w:noVBand="1"/>
        <w:tblCaption w:val="Table 4.3a Protein quality of rapeseed protein isolate (Isolexx™ and Vitalexx™), soy protein isolate and a casein control"/>
        <w:tblDescription w:val="Table 4.3a contains 5 columns. Column 1 lists four row headings including amino acid score, true protein digetstibility, actual PDCAAS (%) and PDCAAS (%) after being truncated to 100%. Column 2 lists the respective values for IsolexxTM (a rapeseed protein isolate).  Column 3 lists the respective values for VitalexxTM (a rapeseed protein isolate). Column 4 lists the respective values for Dunasoy 90TM (a soy protein isolate). Column 5 lists the respective values for a casein control. Table 4.3.3a differs to Table 4.3b for the location of analysis: values presented in Table 4.3a are from the manufacturer's laboratory an those in Table 4.3b are from an external laboratory."/>
      </w:tblPr>
      <w:tblGrid>
        <w:gridCol w:w="1812"/>
        <w:gridCol w:w="1812"/>
        <w:gridCol w:w="1812"/>
        <w:gridCol w:w="1812"/>
        <w:gridCol w:w="1812"/>
      </w:tblGrid>
      <w:tr w:rsidR="002A16F7" w:rsidRPr="007E1BC8" w14:paraId="7CB2D196" w14:textId="2C52ACAF" w:rsidTr="00852344">
        <w:tc>
          <w:tcPr>
            <w:tcW w:w="1812" w:type="dxa"/>
          </w:tcPr>
          <w:p w14:paraId="4697F944" w14:textId="77777777" w:rsidR="002A16F7" w:rsidRPr="0081144C" w:rsidRDefault="002A16F7" w:rsidP="00F15D49">
            <w:pPr>
              <w:keepNext/>
              <w:keepLines/>
              <w:rPr>
                <w:rFonts w:cs="Arial"/>
                <w:sz w:val="20"/>
                <w:szCs w:val="20"/>
              </w:rPr>
            </w:pPr>
          </w:p>
        </w:tc>
        <w:tc>
          <w:tcPr>
            <w:tcW w:w="1812" w:type="dxa"/>
          </w:tcPr>
          <w:p w14:paraId="4F42774D" w14:textId="77777777" w:rsidR="002A16F7" w:rsidRPr="006160C2" w:rsidRDefault="002A16F7" w:rsidP="00F15D49">
            <w:pPr>
              <w:keepNext/>
              <w:keepLines/>
              <w:jc w:val="right"/>
              <w:rPr>
                <w:rFonts w:cs="Arial"/>
                <w:b/>
                <w:sz w:val="20"/>
                <w:szCs w:val="20"/>
              </w:rPr>
            </w:pPr>
            <w:r w:rsidRPr="006160C2">
              <w:rPr>
                <w:rFonts w:cs="Arial"/>
                <w:b/>
                <w:sz w:val="20"/>
                <w:szCs w:val="20"/>
              </w:rPr>
              <w:t>Rapeseed protein isolate (Isolexx™)</w:t>
            </w:r>
          </w:p>
        </w:tc>
        <w:tc>
          <w:tcPr>
            <w:tcW w:w="1812" w:type="dxa"/>
          </w:tcPr>
          <w:p w14:paraId="43E79765" w14:textId="77777777" w:rsidR="002A16F7" w:rsidRPr="006160C2" w:rsidRDefault="002A16F7" w:rsidP="00F15D49">
            <w:pPr>
              <w:keepNext/>
              <w:keepLines/>
              <w:jc w:val="right"/>
              <w:rPr>
                <w:rFonts w:cs="Arial"/>
                <w:b/>
                <w:sz w:val="20"/>
                <w:szCs w:val="20"/>
              </w:rPr>
            </w:pPr>
            <w:r w:rsidRPr="006160C2">
              <w:rPr>
                <w:rFonts w:cs="Arial"/>
                <w:b/>
                <w:sz w:val="20"/>
                <w:szCs w:val="20"/>
              </w:rPr>
              <w:t>Rapeseed protein isolate (Vitalexx™)</w:t>
            </w:r>
          </w:p>
        </w:tc>
        <w:tc>
          <w:tcPr>
            <w:tcW w:w="1812" w:type="dxa"/>
          </w:tcPr>
          <w:p w14:paraId="26A7D00A" w14:textId="77777777" w:rsidR="002A16F7" w:rsidRPr="006160C2" w:rsidRDefault="002A16F7" w:rsidP="00F15D49">
            <w:pPr>
              <w:keepNext/>
              <w:keepLines/>
              <w:jc w:val="right"/>
              <w:rPr>
                <w:rFonts w:cs="Arial"/>
                <w:b/>
                <w:sz w:val="20"/>
                <w:szCs w:val="20"/>
              </w:rPr>
            </w:pPr>
            <w:r w:rsidRPr="006160C2">
              <w:rPr>
                <w:rFonts w:cs="Arial"/>
                <w:b/>
                <w:sz w:val="20"/>
                <w:szCs w:val="20"/>
              </w:rPr>
              <w:t>Soy protein isolate (Dunasoy 90™)</w:t>
            </w:r>
          </w:p>
        </w:tc>
        <w:tc>
          <w:tcPr>
            <w:tcW w:w="1812" w:type="dxa"/>
          </w:tcPr>
          <w:p w14:paraId="0EE4DB04" w14:textId="77777777" w:rsidR="002A16F7" w:rsidRPr="006160C2" w:rsidRDefault="002A16F7" w:rsidP="00F15D49">
            <w:pPr>
              <w:keepNext/>
              <w:keepLines/>
              <w:jc w:val="right"/>
              <w:rPr>
                <w:rFonts w:cs="Arial"/>
                <w:b/>
                <w:sz w:val="20"/>
                <w:szCs w:val="20"/>
              </w:rPr>
            </w:pPr>
            <w:r w:rsidRPr="006160C2">
              <w:rPr>
                <w:rFonts w:cs="Arial"/>
                <w:b/>
                <w:sz w:val="20"/>
                <w:szCs w:val="20"/>
              </w:rPr>
              <w:t>Casein control</w:t>
            </w:r>
          </w:p>
        </w:tc>
      </w:tr>
      <w:tr w:rsidR="002A16F7" w:rsidRPr="007E1BC8" w14:paraId="40BE9D60" w14:textId="2C0BF0EB" w:rsidTr="00852344">
        <w:tc>
          <w:tcPr>
            <w:tcW w:w="1812" w:type="dxa"/>
          </w:tcPr>
          <w:p w14:paraId="731F5CFA" w14:textId="7F628DF8" w:rsidR="002A16F7" w:rsidRPr="0081144C" w:rsidRDefault="002A16F7" w:rsidP="00F15D49">
            <w:pPr>
              <w:keepNext/>
              <w:keepLines/>
              <w:rPr>
                <w:rFonts w:cs="Arial"/>
                <w:sz w:val="20"/>
                <w:szCs w:val="20"/>
              </w:rPr>
            </w:pPr>
            <w:r w:rsidRPr="0081144C">
              <w:rPr>
                <w:rFonts w:cs="Arial"/>
                <w:sz w:val="20"/>
                <w:szCs w:val="20"/>
              </w:rPr>
              <w:t>Amino acid score</w:t>
            </w:r>
          </w:p>
        </w:tc>
        <w:tc>
          <w:tcPr>
            <w:tcW w:w="1812" w:type="dxa"/>
          </w:tcPr>
          <w:p w14:paraId="153EDBD5"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0.90</w:t>
            </w:r>
          </w:p>
        </w:tc>
        <w:tc>
          <w:tcPr>
            <w:tcW w:w="1812" w:type="dxa"/>
          </w:tcPr>
          <w:p w14:paraId="27843B58"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0.89</w:t>
            </w:r>
          </w:p>
        </w:tc>
        <w:tc>
          <w:tcPr>
            <w:tcW w:w="1812" w:type="dxa"/>
          </w:tcPr>
          <w:p w14:paraId="16E564F4"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0.87</w:t>
            </w:r>
          </w:p>
        </w:tc>
        <w:tc>
          <w:tcPr>
            <w:tcW w:w="1812" w:type="dxa"/>
          </w:tcPr>
          <w:p w14:paraId="795EB124"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1.12</w:t>
            </w:r>
          </w:p>
        </w:tc>
      </w:tr>
      <w:tr w:rsidR="002A16F7" w:rsidRPr="007E1BC8" w14:paraId="51B02697" w14:textId="3697B5F6" w:rsidTr="00852344">
        <w:tc>
          <w:tcPr>
            <w:tcW w:w="1812" w:type="dxa"/>
          </w:tcPr>
          <w:p w14:paraId="6BA849E8" w14:textId="77777777" w:rsidR="002A16F7" w:rsidRPr="0081144C" w:rsidRDefault="002A16F7" w:rsidP="00F15D49">
            <w:pPr>
              <w:keepNext/>
              <w:keepLines/>
              <w:rPr>
                <w:rFonts w:cs="Arial"/>
                <w:sz w:val="20"/>
                <w:szCs w:val="20"/>
              </w:rPr>
            </w:pPr>
            <w:r w:rsidRPr="0081144C">
              <w:rPr>
                <w:rFonts w:cs="Arial"/>
                <w:sz w:val="20"/>
                <w:szCs w:val="20"/>
              </w:rPr>
              <w:t>True protein digestibility (%)</w:t>
            </w:r>
          </w:p>
        </w:tc>
        <w:tc>
          <w:tcPr>
            <w:tcW w:w="1812" w:type="dxa"/>
          </w:tcPr>
          <w:p w14:paraId="322847E9" w14:textId="7AAC9E66" w:rsidR="002A16F7" w:rsidRPr="0081144C" w:rsidRDefault="002A16F7" w:rsidP="00F15D49">
            <w:pPr>
              <w:keepNext/>
              <w:keepLines/>
              <w:tabs>
                <w:tab w:val="decimal" w:pos="1134"/>
              </w:tabs>
              <w:rPr>
                <w:rFonts w:cs="Arial"/>
                <w:sz w:val="20"/>
                <w:szCs w:val="20"/>
              </w:rPr>
            </w:pPr>
            <w:r w:rsidRPr="0081144C">
              <w:rPr>
                <w:rFonts w:cs="Arial"/>
                <w:sz w:val="20"/>
                <w:szCs w:val="20"/>
              </w:rPr>
              <w:t>94.8</w:t>
            </w:r>
          </w:p>
        </w:tc>
        <w:tc>
          <w:tcPr>
            <w:tcW w:w="1812" w:type="dxa"/>
          </w:tcPr>
          <w:p w14:paraId="4E5B8E95" w14:textId="4B459FE5" w:rsidR="002A16F7" w:rsidRPr="0081144C" w:rsidRDefault="002A16F7" w:rsidP="00F15D49">
            <w:pPr>
              <w:keepNext/>
              <w:keepLines/>
              <w:tabs>
                <w:tab w:val="decimal" w:pos="1134"/>
              </w:tabs>
              <w:rPr>
                <w:rFonts w:cs="Arial"/>
                <w:sz w:val="20"/>
                <w:szCs w:val="20"/>
              </w:rPr>
            </w:pPr>
            <w:r w:rsidRPr="0081144C">
              <w:rPr>
                <w:rFonts w:cs="Arial"/>
                <w:sz w:val="20"/>
                <w:szCs w:val="20"/>
              </w:rPr>
              <w:t>98.0</w:t>
            </w:r>
          </w:p>
        </w:tc>
        <w:tc>
          <w:tcPr>
            <w:tcW w:w="1812" w:type="dxa"/>
          </w:tcPr>
          <w:p w14:paraId="2979DB46" w14:textId="4914034F" w:rsidR="002A16F7" w:rsidRPr="0081144C" w:rsidRDefault="002A16F7" w:rsidP="00F15D49">
            <w:pPr>
              <w:keepNext/>
              <w:keepLines/>
              <w:tabs>
                <w:tab w:val="decimal" w:pos="1134"/>
              </w:tabs>
              <w:rPr>
                <w:rFonts w:cs="Arial"/>
                <w:sz w:val="20"/>
                <w:szCs w:val="20"/>
              </w:rPr>
            </w:pPr>
            <w:r w:rsidRPr="0081144C">
              <w:rPr>
                <w:rFonts w:cs="Arial"/>
                <w:sz w:val="20"/>
                <w:szCs w:val="20"/>
              </w:rPr>
              <w:t>94.</w:t>
            </w:r>
            <w:r w:rsidR="00265F40">
              <w:rPr>
                <w:rFonts w:cs="Arial"/>
                <w:sz w:val="20"/>
                <w:szCs w:val="20"/>
              </w:rPr>
              <w:t>9</w:t>
            </w:r>
          </w:p>
        </w:tc>
        <w:tc>
          <w:tcPr>
            <w:tcW w:w="1812" w:type="dxa"/>
          </w:tcPr>
          <w:p w14:paraId="42DDCA8C" w14:textId="1FCFD5DA" w:rsidR="002A16F7" w:rsidRPr="0081144C" w:rsidRDefault="002A16F7" w:rsidP="00F15D49">
            <w:pPr>
              <w:keepNext/>
              <w:keepLines/>
              <w:tabs>
                <w:tab w:val="decimal" w:pos="1134"/>
              </w:tabs>
              <w:rPr>
                <w:rFonts w:cs="Arial"/>
                <w:sz w:val="20"/>
                <w:szCs w:val="20"/>
              </w:rPr>
            </w:pPr>
            <w:r w:rsidRPr="0081144C">
              <w:rPr>
                <w:rFonts w:cs="Arial"/>
                <w:sz w:val="20"/>
                <w:szCs w:val="20"/>
              </w:rPr>
              <w:t>97.</w:t>
            </w:r>
            <w:r w:rsidR="00265F40">
              <w:rPr>
                <w:rFonts w:cs="Arial"/>
                <w:sz w:val="20"/>
                <w:szCs w:val="20"/>
              </w:rPr>
              <w:t>4</w:t>
            </w:r>
          </w:p>
        </w:tc>
      </w:tr>
      <w:tr w:rsidR="002A16F7" w:rsidRPr="007E1BC8" w14:paraId="09A40EED" w14:textId="72AD15F0" w:rsidTr="00852344">
        <w:tc>
          <w:tcPr>
            <w:tcW w:w="1812" w:type="dxa"/>
          </w:tcPr>
          <w:p w14:paraId="6DC53E80" w14:textId="77777777" w:rsidR="002A16F7" w:rsidRPr="0081144C" w:rsidRDefault="002A16F7" w:rsidP="00F15D49">
            <w:pPr>
              <w:keepNext/>
              <w:keepLines/>
              <w:rPr>
                <w:rFonts w:cs="Arial"/>
                <w:sz w:val="20"/>
                <w:szCs w:val="20"/>
                <w:vertAlign w:val="superscript"/>
              </w:rPr>
            </w:pPr>
            <w:r w:rsidRPr="0081144C">
              <w:rPr>
                <w:rFonts w:cs="Arial"/>
                <w:sz w:val="20"/>
                <w:szCs w:val="20"/>
              </w:rPr>
              <w:t>Actual PDCAAS (%)</w:t>
            </w:r>
            <w:r w:rsidRPr="0081144C">
              <w:rPr>
                <w:rFonts w:cs="Arial"/>
                <w:sz w:val="20"/>
                <w:szCs w:val="20"/>
                <w:vertAlign w:val="superscript"/>
              </w:rPr>
              <w:t>2</w:t>
            </w:r>
          </w:p>
        </w:tc>
        <w:tc>
          <w:tcPr>
            <w:tcW w:w="1812" w:type="dxa"/>
          </w:tcPr>
          <w:p w14:paraId="42FBB7ED"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86</w:t>
            </w:r>
          </w:p>
        </w:tc>
        <w:tc>
          <w:tcPr>
            <w:tcW w:w="1812" w:type="dxa"/>
          </w:tcPr>
          <w:p w14:paraId="4DCBC9A7"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87</w:t>
            </w:r>
          </w:p>
        </w:tc>
        <w:tc>
          <w:tcPr>
            <w:tcW w:w="1812" w:type="dxa"/>
          </w:tcPr>
          <w:p w14:paraId="1E03DB3F"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83</w:t>
            </w:r>
          </w:p>
        </w:tc>
        <w:tc>
          <w:tcPr>
            <w:tcW w:w="1812" w:type="dxa"/>
          </w:tcPr>
          <w:p w14:paraId="14FEAF9E" w14:textId="5D8CD81F" w:rsidR="002A16F7" w:rsidRPr="0081144C" w:rsidRDefault="002A16F7" w:rsidP="00F15D49">
            <w:pPr>
              <w:keepNext/>
              <w:keepLines/>
              <w:tabs>
                <w:tab w:val="decimal" w:pos="1134"/>
              </w:tabs>
              <w:rPr>
                <w:rFonts w:cs="Arial"/>
                <w:sz w:val="20"/>
                <w:szCs w:val="20"/>
              </w:rPr>
            </w:pPr>
            <w:r w:rsidRPr="0081144C">
              <w:rPr>
                <w:rFonts w:cs="Arial"/>
                <w:sz w:val="20"/>
                <w:szCs w:val="20"/>
              </w:rPr>
              <w:t>109</w:t>
            </w:r>
          </w:p>
        </w:tc>
      </w:tr>
      <w:tr w:rsidR="002A16F7" w:rsidRPr="007E1BC8" w14:paraId="1D37714A" w14:textId="59D42843" w:rsidTr="00852344">
        <w:trPr>
          <w:trHeight w:val="65"/>
        </w:trPr>
        <w:tc>
          <w:tcPr>
            <w:tcW w:w="1812" w:type="dxa"/>
          </w:tcPr>
          <w:p w14:paraId="75DD5B5B" w14:textId="77777777" w:rsidR="002A16F7" w:rsidRPr="0081144C" w:rsidRDefault="002A16F7" w:rsidP="00F15D49">
            <w:pPr>
              <w:keepNext/>
              <w:keepLines/>
              <w:rPr>
                <w:rFonts w:cs="Arial"/>
                <w:sz w:val="20"/>
                <w:szCs w:val="20"/>
              </w:rPr>
            </w:pPr>
            <w:r w:rsidRPr="0081144C">
              <w:rPr>
                <w:rFonts w:cs="Arial"/>
                <w:sz w:val="20"/>
                <w:szCs w:val="20"/>
              </w:rPr>
              <w:t>PDCAAS (%)</w:t>
            </w:r>
          </w:p>
        </w:tc>
        <w:tc>
          <w:tcPr>
            <w:tcW w:w="1812" w:type="dxa"/>
          </w:tcPr>
          <w:p w14:paraId="4806BA47"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86</w:t>
            </w:r>
          </w:p>
        </w:tc>
        <w:tc>
          <w:tcPr>
            <w:tcW w:w="1812" w:type="dxa"/>
          </w:tcPr>
          <w:p w14:paraId="45251853"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87</w:t>
            </w:r>
          </w:p>
        </w:tc>
        <w:tc>
          <w:tcPr>
            <w:tcW w:w="1812" w:type="dxa"/>
          </w:tcPr>
          <w:p w14:paraId="3B22FC86"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83</w:t>
            </w:r>
          </w:p>
        </w:tc>
        <w:tc>
          <w:tcPr>
            <w:tcW w:w="1812" w:type="dxa"/>
          </w:tcPr>
          <w:p w14:paraId="483E6863"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r>
    </w:tbl>
    <w:p w14:paraId="7301D6C2" w14:textId="6D89F133" w:rsidR="002A16F7" w:rsidRDefault="002A16F7" w:rsidP="00F15D49">
      <w:pPr>
        <w:keepNext/>
        <w:keepLines/>
        <w:rPr>
          <w:sz w:val="18"/>
          <w:szCs w:val="18"/>
          <w:vertAlign w:val="superscript"/>
        </w:rPr>
      </w:pPr>
      <w:r w:rsidRPr="00C21AB6">
        <w:rPr>
          <w:rFonts w:cs="Arial"/>
          <w:sz w:val="18"/>
          <w:szCs w:val="18"/>
        </w:rPr>
        <w:t xml:space="preserve">PDCAAS, </w:t>
      </w:r>
      <w:r w:rsidRPr="00C21AB6">
        <w:rPr>
          <w:sz w:val="18"/>
          <w:szCs w:val="18"/>
        </w:rPr>
        <w:t>protein digestibility corrected amino acid score</w:t>
      </w:r>
      <w:r w:rsidR="001646CE">
        <w:rPr>
          <w:sz w:val="18"/>
          <w:szCs w:val="18"/>
        </w:rPr>
        <w:t>.</w:t>
      </w:r>
      <w:r w:rsidRPr="00052727">
        <w:rPr>
          <w:sz w:val="18"/>
          <w:szCs w:val="18"/>
          <w:vertAlign w:val="superscript"/>
        </w:rPr>
        <w:t xml:space="preserve"> </w:t>
      </w:r>
    </w:p>
    <w:p w14:paraId="2898B721" w14:textId="61BBBCF1" w:rsidR="002A16F7" w:rsidRPr="00052727" w:rsidRDefault="002A16F7" w:rsidP="00F15D49">
      <w:pPr>
        <w:keepNext/>
        <w:keepLines/>
        <w:rPr>
          <w:sz w:val="18"/>
          <w:szCs w:val="18"/>
        </w:rPr>
      </w:pPr>
      <w:r w:rsidRPr="00052727">
        <w:rPr>
          <w:sz w:val="18"/>
          <w:szCs w:val="18"/>
          <w:vertAlign w:val="superscript"/>
        </w:rPr>
        <w:t>1</w:t>
      </w:r>
      <w:r>
        <w:rPr>
          <w:sz w:val="18"/>
          <w:szCs w:val="18"/>
          <w:vertAlign w:val="superscript"/>
        </w:rPr>
        <w:t xml:space="preserve"> </w:t>
      </w:r>
      <w:r>
        <w:rPr>
          <w:sz w:val="18"/>
          <w:szCs w:val="18"/>
        </w:rPr>
        <w:t xml:space="preserve">Source: </w:t>
      </w:r>
      <w:r w:rsidRPr="00A64EEA">
        <w:rPr>
          <w:sz w:val="18"/>
          <w:szCs w:val="18"/>
        </w:rPr>
        <w:t>GRAS Notice No. GRN 000386</w:t>
      </w:r>
      <w:r>
        <w:rPr>
          <w:sz w:val="18"/>
          <w:szCs w:val="18"/>
        </w:rPr>
        <w:t xml:space="preserve"> Table 9a and 10a (analysis conducted in manufacturer’s lab)</w:t>
      </w:r>
      <w:r w:rsidR="001646CE">
        <w:rPr>
          <w:sz w:val="18"/>
          <w:szCs w:val="18"/>
        </w:rPr>
        <w:t>.</w:t>
      </w:r>
    </w:p>
    <w:p w14:paraId="05B64123" w14:textId="761D6445" w:rsidR="002A16F7" w:rsidRPr="00F32F30" w:rsidRDefault="002A16F7" w:rsidP="00F15D49">
      <w:pPr>
        <w:keepNext/>
        <w:keepLines/>
        <w:rPr>
          <w:sz w:val="18"/>
          <w:szCs w:val="18"/>
        </w:rPr>
      </w:pPr>
      <w:r>
        <w:rPr>
          <w:sz w:val="18"/>
          <w:szCs w:val="18"/>
          <w:vertAlign w:val="superscript"/>
        </w:rPr>
        <w:t xml:space="preserve">2 </w:t>
      </w:r>
      <w:r>
        <w:rPr>
          <w:sz w:val="18"/>
          <w:szCs w:val="18"/>
        </w:rPr>
        <w:t xml:space="preserve">Prior to truncation (PDCAAS values </w:t>
      </w:r>
      <w:r w:rsidR="00742300">
        <w:rPr>
          <w:sz w:val="18"/>
          <w:szCs w:val="18"/>
        </w:rPr>
        <w:t xml:space="preserve">greater than 100% </w:t>
      </w:r>
      <w:r>
        <w:rPr>
          <w:sz w:val="18"/>
          <w:szCs w:val="18"/>
        </w:rPr>
        <w:t>are truncated to 100%)</w:t>
      </w:r>
      <w:r w:rsidR="001646CE">
        <w:rPr>
          <w:sz w:val="18"/>
          <w:szCs w:val="18"/>
        </w:rPr>
        <w:t>.</w:t>
      </w:r>
    </w:p>
    <w:p w14:paraId="23813DA3" w14:textId="067A968B" w:rsidR="002A16F7" w:rsidRPr="00F15D49" w:rsidRDefault="002A16F7" w:rsidP="002A16F7">
      <w:pPr>
        <w:rPr>
          <w:rFonts w:cs="Arial"/>
          <w:szCs w:val="18"/>
        </w:rPr>
      </w:pPr>
    </w:p>
    <w:p w14:paraId="27EE1868" w14:textId="77777777" w:rsidR="00F15D49" w:rsidRPr="00F15D49" w:rsidRDefault="00F15D49" w:rsidP="002A16F7">
      <w:pPr>
        <w:rPr>
          <w:rFonts w:cs="Arial"/>
          <w:szCs w:val="18"/>
        </w:rPr>
      </w:pPr>
    </w:p>
    <w:p w14:paraId="30266E55" w14:textId="2B3A9D51" w:rsidR="002A16F7" w:rsidRDefault="002A16F7" w:rsidP="00F15D49">
      <w:pPr>
        <w:pStyle w:val="FSTableTitle"/>
        <w:keepNext/>
        <w:keepLines/>
        <w:rPr>
          <w:b w:val="0"/>
          <w:i/>
          <w:vertAlign w:val="superscript"/>
        </w:rPr>
      </w:pPr>
      <w:r w:rsidRPr="005021AA">
        <w:rPr>
          <w:i/>
        </w:rPr>
        <w:t xml:space="preserve">Table </w:t>
      </w:r>
      <w:r w:rsidR="00B429B6" w:rsidRPr="005021AA">
        <w:rPr>
          <w:i/>
        </w:rPr>
        <w:t>4</w:t>
      </w:r>
      <w:r>
        <w:rPr>
          <w:i/>
        </w:rPr>
        <w:t>.3b</w:t>
      </w:r>
      <w:r w:rsidR="005021AA">
        <w:rPr>
          <w:i/>
        </w:rPr>
        <w:tab/>
      </w:r>
      <w:r w:rsidRPr="005021AA">
        <w:rPr>
          <w:b w:val="0"/>
          <w:i/>
        </w:rPr>
        <w:t>Protein quality of rapeseed protein isolate (Isolexx™ and Vitalexx™), soy protein isolate and a casein control</w:t>
      </w:r>
      <w:r w:rsidRPr="005021AA">
        <w:rPr>
          <w:b w:val="0"/>
          <w:i/>
          <w:vertAlign w:val="superscript"/>
        </w:rPr>
        <w:t>1</w:t>
      </w:r>
    </w:p>
    <w:p w14:paraId="0010BC2B" w14:textId="77777777" w:rsidR="00F15D49" w:rsidRPr="00F15D49" w:rsidRDefault="00F15D49" w:rsidP="00F15D49">
      <w:pPr>
        <w:keepNext/>
        <w:keepLines/>
      </w:pPr>
    </w:p>
    <w:tbl>
      <w:tblPr>
        <w:tblStyle w:val="TableGrid"/>
        <w:tblW w:w="9060" w:type="dxa"/>
        <w:tblLook w:val="04A0" w:firstRow="1" w:lastRow="0" w:firstColumn="1" w:lastColumn="0" w:noHBand="0" w:noVBand="1"/>
        <w:tblCaption w:val="Table 4.3b Protein quality of rapeseed protein isolate (Isolexx™ and Vitalexx™), soy protein isolate and a casein control"/>
        <w:tblDescription w:val="Table 4.3b contains 5 columns. Column 1 lists four row headings including amino acid score, true protein digetstibility, actual PDCAAS (%) and PDCAAS (%) after being truncated to 100%. Column 2 lists the respective values for IsolexxTM (a rapeseed protein isolate).  Column 3 lists the respective values for VitalexxTM (a rapeseed protein isolate). Column 4 lists the respective values for Dunasoy 90TM (a soy protein isolate). Column 5 lists the respective values for a casein control. Table 4.3a differs to Table 4.3b for the location of analysis. The values presented in Table 4.3a are from the manufacturer's laboratory and Table 4.3b are from an external laboratory."/>
      </w:tblPr>
      <w:tblGrid>
        <w:gridCol w:w="1812"/>
        <w:gridCol w:w="1812"/>
        <w:gridCol w:w="1812"/>
        <w:gridCol w:w="1812"/>
        <w:gridCol w:w="1812"/>
      </w:tblGrid>
      <w:tr w:rsidR="002A16F7" w:rsidRPr="007E1BC8" w14:paraId="594E7FF3" w14:textId="779B71A3" w:rsidTr="00852344">
        <w:tc>
          <w:tcPr>
            <w:tcW w:w="1812" w:type="dxa"/>
          </w:tcPr>
          <w:p w14:paraId="4D637DBB" w14:textId="77777777" w:rsidR="002A16F7" w:rsidRPr="0081144C" w:rsidRDefault="002A16F7" w:rsidP="00F15D49">
            <w:pPr>
              <w:keepNext/>
              <w:keepLines/>
              <w:rPr>
                <w:rFonts w:cs="Arial"/>
                <w:sz w:val="20"/>
                <w:szCs w:val="20"/>
              </w:rPr>
            </w:pPr>
          </w:p>
        </w:tc>
        <w:tc>
          <w:tcPr>
            <w:tcW w:w="1812" w:type="dxa"/>
          </w:tcPr>
          <w:p w14:paraId="7CDB5A61" w14:textId="3BFA7FA2" w:rsidR="002A16F7" w:rsidRPr="006160C2" w:rsidRDefault="002A16F7" w:rsidP="00F15D49">
            <w:pPr>
              <w:keepNext/>
              <w:keepLines/>
              <w:jc w:val="right"/>
              <w:rPr>
                <w:rFonts w:cs="Arial"/>
                <w:b/>
                <w:sz w:val="20"/>
                <w:szCs w:val="20"/>
              </w:rPr>
            </w:pPr>
            <w:r w:rsidRPr="006160C2">
              <w:rPr>
                <w:rFonts w:cs="Arial"/>
                <w:b/>
                <w:sz w:val="20"/>
                <w:szCs w:val="20"/>
              </w:rPr>
              <w:t>Ra</w:t>
            </w:r>
            <w:r w:rsidR="0009796E">
              <w:rPr>
                <w:rFonts w:cs="Arial"/>
                <w:b/>
                <w:sz w:val="20"/>
                <w:szCs w:val="20"/>
              </w:rPr>
              <w:t>peseed protein isolate (Isolexx</w:t>
            </w:r>
            <w:r w:rsidRPr="006160C2">
              <w:rPr>
                <w:rFonts w:cs="Arial"/>
                <w:b/>
                <w:sz w:val="20"/>
                <w:szCs w:val="20"/>
              </w:rPr>
              <w:t>)</w:t>
            </w:r>
          </w:p>
        </w:tc>
        <w:tc>
          <w:tcPr>
            <w:tcW w:w="1812" w:type="dxa"/>
          </w:tcPr>
          <w:p w14:paraId="06272737" w14:textId="438C8C57" w:rsidR="002A16F7" w:rsidRPr="006160C2" w:rsidRDefault="002A16F7" w:rsidP="00F15D49">
            <w:pPr>
              <w:keepNext/>
              <w:keepLines/>
              <w:jc w:val="right"/>
              <w:rPr>
                <w:rFonts w:cs="Arial"/>
                <w:b/>
                <w:sz w:val="20"/>
                <w:szCs w:val="20"/>
              </w:rPr>
            </w:pPr>
            <w:r w:rsidRPr="006160C2">
              <w:rPr>
                <w:rFonts w:cs="Arial"/>
                <w:b/>
                <w:sz w:val="20"/>
                <w:szCs w:val="20"/>
              </w:rPr>
              <w:t>Rap</w:t>
            </w:r>
            <w:r w:rsidR="0009796E">
              <w:rPr>
                <w:rFonts w:cs="Arial"/>
                <w:b/>
                <w:sz w:val="20"/>
                <w:szCs w:val="20"/>
              </w:rPr>
              <w:t>eseed protein isolate (Vitalexx</w:t>
            </w:r>
            <w:r w:rsidRPr="006160C2">
              <w:rPr>
                <w:rFonts w:cs="Arial"/>
                <w:b/>
                <w:sz w:val="20"/>
                <w:szCs w:val="20"/>
              </w:rPr>
              <w:t>)</w:t>
            </w:r>
          </w:p>
        </w:tc>
        <w:tc>
          <w:tcPr>
            <w:tcW w:w="1812" w:type="dxa"/>
          </w:tcPr>
          <w:p w14:paraId="271812B8" w14:textId="06FD91FC" w:rsidR="002A16F7" w:rsidRPr="006160C2" w:rsidRDefault="0009796E" w:rsidP="00F15D49">
            <w:pPr>
              <w:keepNext/>
              <w:keepLines/>
              <w:jc w:val="right"/>
              <w:rPr>
                <w:rFonts w:cs="Arial"/>
                <w:b/>
                <w:sz w:val="20"/>
                <w:szCs w:val="20"/>
              </w:rPr>
            </w:pPr>
            <w:r>
              <w:rPr>
                <w:rFonts w:cs="Arial"/>
                <w:b/>
                <w:sz w:val="20"/>
                <w:szCs w:val="20"/>
              </w:rPr>
              <w:t>Soy protein isolate (Dunasoy 90</w:t>
            </w:r>
            <w:r w:rsidR="002A16F7" w:rsidRPr="006160C2">
              <w:rPr>
                <w:rFonts w:cs="Arial"/>
                <w:b/>
                <w:sz w:val="20"/>
                <w:szCs w:val="20"/>
              </w:rPr>
              <w:t>)</w:t>
            </w:r>
          </w:p>
        </w:tc>
        <w:tc>
          <w:tcPr>
            <w:tcW w:w="1812" w:type="dxa"/>
          </w:tcPr>
          <w:p w14:paraId="6192D6FD" w14:textId="77777777" w:rsidR="002A16F7" w:rsidRPr="006160C2" w:rsidRDefault="002A16F7" w:rsidP="00F15D49">
            <w:pPr>
              <w:keepNext/>
              <w:keepLines/>
              <w:jc w:val="right"/>
              <w:rPr>
                <w:rFonts w:cs="Arial"/>
                <w:b/>
                <w:sz w:val="20"/>
                <w:szCs w:val="20"/>
              </w:rPr>
            </w:pPr>
            <w:r w:rsidRPr="006160C2">
              <w:rPr>
                <w:rFonts w:cs="Arial"/>
                <w:b/>
                <w:sz w:val="20"/>
                <w:szCs w:val="20"/>
              </w:rPr>
              <w:t>Casein control</w:t>
            </w:r>
          </w:p>
        </w:tc>
      </w:tr>
      <w:tr w:rsidR="002A16F7" w:rsidRPr="007E1BC8" w14:paraId="0CB7B04B" w14:textId="7B158DEB" w:rsidTr="00852344">
        <w:tc>
          <w:tcPr>
            <w:tcW w:w="1812" w:type="dxa"/>
          </w:tcPr>
          <w:p w14:paraId="338F7787" w14:textId="6742E910" w:rsidR="002A16F7" w:rsidRPr="0081144C" w:rsidRDefault="002A16F7" w:rsidP="00F15D49">
            <w:pPr>
              <w:keepNext/>
              <w:keepLines/>
              <w:rPr>
                <w:rFonts w:cs="Arial"/>
                <w:sz w:val="20"/>
                <w:szCs w:val="20"/>
              </w:rPr>
            </w:pPr>
            <w:r w:rsidRPr="0081144C">
              <w:rPr>
                <w:rFonts w:cs="Arial"/>
                <w:sz w:val="20"/>
                <w:szCs w:val="20"/>
              </w:rPr>
              <w:t>Amino acid score</w:t>
            </w:r>
          </w:p>
        </w:tc>
        <w:tc>
          <w:tcPr>
            <w:tcW w:w="1812" w:type="dxa"/>
          </w:tcPr>
          <w:p w14:paraId="21E93F40"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1.09</w:t>
            </w:r>
          </w:p>
        </w:tc>
        <w:tc>
          <w:tcPr>
            <w:tcW w:w="1812" w:type="dxa"/>
          </w:tcPr>
          <w:p w14:paraId="0C2C3F7D"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1.10</w:t>
            </w:r>
          </w:p>
        </w:tc>
        <w:tc>
          <w:tcPr>
            <w:tcW w:w="1812" w:type="dxa"/>
          </w:tcPr>
          <w:p w14:paraId="188C4B98"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0.99</w:t>
            </w:r>
          </w:p>
        </w:tc>
        <w:tc>
          <w:tcPr>
            <w:tcW w:w="1812" w:type="dxa"/>
          </w:tcPr>
          <w:p w14:paraId="593CCE00"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1.51</w:t>
            </w:r>
          </w:p>
        </w:tc>
      </w:tr>
      <w:tr w:rsidR="002A16F7" w:rsidRPr="007E1BC8" w14:paraId="3D1DB55F" w14:textId="3CEA2F16" w:rsidTr="00852344">
        <w:tc>
          <w:tcPr>
            <w:tcW w:w="1812" w:type="dxa"/>
          </w:tcPr>
          <w:p w14:paraId="7DF2DBFF" w14:textId="77777777" w:rsidR="002A16F7" w:rsidRPr="0081144C" w:rsidRDefault="002A16F7" w:rsidP="00F15D49">
            <w:pPr>
              <w:keepNext/>
              <w:keepLines/>
              <w:rPr>
                <w:rFonts w:cs="Arial"/>
                <w:sz w:val="20"/>
                <w:szCs w:val="20"/>
              </w:rPr>
            </w:pPr>
            <w:r w:rsidRPr="0081144C">
              <w:rPr>
                <w:rFonts w:cs="Arial"/>
                <w:sz w:val="20"/>
                <w:szCs w:val="20"/>
              </w:rPr>
              <w:t>True protein digestibility (%)</w:t>
            </w:r>
          </w:p>
        </w:tc>
        <w:tc>
          <w:tcPr>
            <w:tcW w:w="1812" w:type="dxa"/>
          </w:tcPr>
          <w:p w14:paraId="68EED306" w14:textId="0EC81B58" w:rsidR="002A16F7" w:rsidRPr="0081144C" w:rsidRDefault="002A16F7" w:rsidP="00F15D49">
            <w:pPr>
              <w:keepNext/>
              <w:keepLines/>
              <w:tabs>
                <w:tab w:val="decimal" w:pos="1134"/>
              </w:tabs>
              <w:rPr>
                <w:rFonts w:cs="Arial"/>
                <w:sz w:val="20"/>
                <w:szCs w:val="20"/>
              </w:rPr>
            </w:pPr>
            <w:r w:rsidRPr="0081144C">
              <w:rPr>
                <w:rFonts w:cs="Arial"/>
                <w:sz w:val="20"/>
                <w:szCs w:val="20"/>
              </w:rPr>
              <w:t>94.8</w:t>
            </w:r>
          </w:p>
        </w:tc>
        <w:tc>
          <w:tcPr>
            <w:tcW w:w="1812" w:type="dxa"/>
          </w:tcPr>
          <w:p w14:paraId="2D228418" w14:textId="2DCDC807" w:rsidR="002A16F7" w:rsidRPr="0081144C" w:rsidRDefault="002A16F7" w:rsidP="00F15D49">
            <w:pPr>
              <w:keepNext/>
              <w:keepLines/>
              <w:tabs>
                <w:tab w:val="decimal" w:pos="1134"/>
              </w:tabs>
              <w:rPr>
                <w:rFonts w:cs="Arial"/>
                <w:sz w:val="20"/>
                <w:szCs w:val="20"/>
              </w:rPr>
            </w:pPr>
            <w:r w:rsidRPr="0081144C">
              <w:rPr>
                <w:rFonts w:cs="Arial"/>
                <w:sz w:val="20"/>
                <w:szCs w:val="20"/>
              </w:rPr>
              <w:t>98.0</w:t>
            </w:r>
          </w:p>
        </w:tc>
        <w:tc>
          <w:tcPr>
            <w:tcW w:w="1812" w:type="dxa"/>
          </w:tcPr>
          <w:p w14:paraId="20324A50" w14:textId="4A7F82D8" w:rsidR="002A16F7" w:rsidRPr="0081144C" w:rsidRDefault="002A16F7" w:rsidP="00F15D49">
            <w:pPr>
              <w:keepNext/>
              <w:keepLines/>
              <w:tabs>
                <w:tab w:val="decimal" w:pos="1134"/>
              </w:tabs>
              <w:rPr>
                <w:rFonts w:cs="Arial"/>
                <w:sz w:val="20"/>
                <w:szCs w:val="20"/>
              </w:rPr>
            </w:pPr>
            <w:r w:rsidRPr="0081144C">
              <w:rPr>
                <w:rFonts w:cs="Arial"/>
                <w:sz w:val="20"/>
                <w:szCs w:val="20"/>
              </w:rPr>
              <w:t>94.</w:t>
            </w:r>
            <w:r w:rsidR="00265F40">
              <w:rPr>
                <w:rFonts w:cs="Arial"/>
                <w:sz w:val="20"/>
                <w:szCs w:val="20"/>
              </w:rPr>
              <w:t>9</w:t>
            </w:r>
          </w:p>
        </w:tc>
        <w:tc>
          <w:tcPr>
            <w:tcW w:w="1812" w:type="dxa"/>
          </w:tcPr>
          <w:p w14:paraId="44599E61" w14:textId="18CB6B31" w:rsidR="002A16F7" w:rsidRPr="0081144C" w:rsidRDefault="002A16F7" w:rsidP="00F15D49">
            <w:pPr>
              <w:keepNext/>
              <w:keepLines/>
              <w:tabs>
                <w:tab w:val="decimal" w:pos="1134"/>
              </w:tabs>
              <w:rPr>
                <w:rFonts w:cs="Arial"/>
                <w:sz w:val="20"/>
                <w:szCs w:val="20"/>
              </w:rPr>
            </w:pPr>
            <w:r w:rsidRPr="0081144C">
              <w:rPr>
                <w:rFonts w:cs="Arial"/>
                <w:sz w:val="20"/>
                <w:szCs w:val="20"/>
              </w:rPr>
              <w:t>97.</w:t>
            </w:r>
            <w:r w:rsidR="00265F40">
              <w:rPr>
                <w:rFonts w:cs="Arial"/>
                <w:sz w:val="20"/>
                <w:szCs w:val="20"/>
              </w:rPr>
              <w:t>4</w:t>
            </w:r>
          </w:p>
        </w:tc>
      </w:tr>
      <w:tr w:rsidR="002A16F7" w:rsidRPr="007E1BC8" w14:paraId="3A74EC78" w14:textId="66E7EE66" w:rsidTr="00852344">
        <w:tc>
          <w:tcPr>
            <w:tcW w:w="1812" w:type="dxa"/>
          </w:tcPr>
          <w:p w14:paraId="37C3D7F3" w14:textId="77777777" w:rsidR="002A16F7" w:rsidRPr="0081144C" w:rsidRDefault="002A16F7" w:rsidP="00F15D49">
            <w:pPr>
              <w:keepNext/>
              <w:keepLines/>
              <w:rPr>
                <w:rFonts w:cs="Arial"/>
                <w:sz w:val="20"/>
                <w:szCs w:val="20"/>
                <w:vertAlign w:val="superscript"/>
              </w:rPr>
            </w:pPr>
            <w:r w:rsidRPr="0081144C">
              <w:rPr>
                <w:rFonts w:cs="Arial"/>
                <w:sz w:val="20"/>
                <w:szCs w:val="20"/>
              </w:rPr>
              <w:t>Actual PDCAAS (%)</w:t>
            </w:r>
            <w:r w:rsidRPr="0081144C">
              <w:rPr>
                <w:rFonts w:cs="Arial"/>
                <w:sz w:val="20"/>
                <w:szCs w:val="20"/>
                <w:vertAlign w:val="superscript"/>
              </w:rPr>
              <w:t>2</w:t>
            </w:r>
          </w:p>
        </w:tc>
        <w:tc>
          <w:tcPr>
            <w:tcW w:w="1812" w:type="dxa"/>
          </w:tcPr>
          <w:p w14:paraId="6F406854"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104</w:t>
            </w:r>
          </w:p>
        </w:tc>
        <w:tc>
          <w:tcPr>
            <w:tcW w:w="1812" w:type="dxa"/>
          </w:tcPr>
          <w:p w14:paraId="14EF63AB"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108</w:t>
            </w:r>
          </w:p>
        </w:tc>
        <w:tc>
          <w:tcPr>
            <w:tcW w:w="1812" w:type="dxa"/>
          </w:tcPr>
          <w:p w14:paraId="3ECF420E"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94</w:t>
            </w:r>
          </w:p>
        </w:tc>
        <w:tc>
          <w:tcPr>
            <w:tcW w:w="1812" w:type="dxa"/>
          </w:tcPr>
          <w:p w14:paraId="3025F000"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147</w:t>
            </w:r>
          </w:p>
        </w:tc>
      </w:tr>
      <w:tr w:rsidR="002A16F7" w:rsidRPr="007E1BC8" w14:paraId="722C71B1" w14:textId="093F01DC" w:rsidTr="00852344">
        <w:trPr>
          <w:trHeight w:val="65"/>
        </w:trPr>
        <w:tc>
          <w:tcPr>
            <w:tcW w:w="1812" w:type="dxa"/>
          </w:tcPr>
          <w:p w14:paraId="32A08179" w14:textId="77777777" w:rsidR="002A16F7" w:rsidRPr="0081144C" w:rsidRDefault="002A16F7" w:rsidP="00F15D49">
            <w:pPr>
              <w:keepNext/>
              <w:keepLines/>
              <w:rPr>
                <w:rFonts w:cs="Arial"/>
                <w:sz w:val="20"/>
                <w:szCs w:val="20"/>
              </w:rPr>
            </w:pPr>
            <w:r w:rsidRPr="0081144C">
              <w:rPr>
                <w:rFonts w:cs="Arial"/>
                <w:sz w:val="20"/>
                <w:szCs w:val="20"/>
              </w:rPr>
              <w:t>PDCAAS (%)</w:t>
            </w:r>
          </w:p>
        </w:tc>
        <w:tc>
          <w:tcPr>
            <w:tcW w:w="1812" w:type="dxa"/>
          </w:tcPr>
          <w:p w14:paraId="5293DC8B"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c>
          <w:tcPr>
            <w:tcW w:w="1812" w:type="dxa"/>
          </w:tcPr>
          <w:p w14:paraId="0D809551"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c>
          <w:tcPr>
            <w:tcW w:w="1812" w:type="dxa"/>
          </w:tcPr>
          <w:p w14:paraId="18ED0F95"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94</w:t>
            </w:r>
          </w:p>
        </w:tc>
        <w:tc>
          <w:tcPr>
            <w:tcW w:w="1812" w:type="dxa"/>
          </w:tcPr>
          <w:p w14:paraId="597B81B9"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r>
    </w:tbl>
    <w:p w14:paraId="2E128B30" w14:textId="49D51A92" w:rsidR="002A16F7" w:rsidRDefault="002A16F7" w:rsidP="00F15D49">
      <w:pPr>
        <w:keepNext/>
        <w:keepLines/>
        <w:rPr>
          <w:sz w:val="18"/>
          <w:szCs w:val="18"/>
          <w:vertAlign w:val="superscript"/>
        </w:rPr>
      </w:pPr>
      <w:r w:rsidRPr="00C21AB6">
        <w:rPr>
          <w:rFonts w:cs="Arial"/>
          <w:sz w:val="18"/>
          <w:szCs w:val="18"/>
        </w:rPr>
        <w:t xml:space="preserve">PDCAAS, </w:t>
      </w:r>
      <w:r w:rsidRPr="00C21AB6">
        <w:rPr>
          <w:sz w:val="18"/>
          <w:szCs w:val="18"/>
        </w:rPr>
        <w:t>protein digestibility corrected amino acid score</w:t>
      </w:r>
      <w:r w:rsidR="001646CE">
        <w:rPr>
          <w:sz w:val="18"/>
          <w:szCs w:val="18"/>
        </w:rPr>
        <w:t>.</w:t>
      </w:r>
      <w:r w:rsidRPr="00052727">
        <w:rPr>
          <w:sz w:val="18"/>
          <w:szCs w:val="18"/>
          <w:vertAlign w:val="superscript"/>
        </w:rPr>
        <w:t xml:space="preserve"> </w:t>
      </w:r>
    </w:p>
    <w:p w14:paraId="18727BE5" w14:textId="064416CE" w:rsidR="002A16F7" w:rsidRPr="00052727" w:rsidRDefault="002A16F7" w:rsidP="00F15D49">
      <w:pPr>
        <w:keepNext/>
        <w:keepLines/>
        <w:ind w:left="142" w:hanging="142"/>
        <w:rPr>
          <w:sz w:val="18"/>
          <w:szCs w:val="18"/>
        </w:rPr>
      </w:pPr>
      <w:r w:rsidRPr="00A64EEA">
        <w:rPr>
          <w:sz w:val="18"/>
          <w:szCs w:val="18"/>
          <w:vertAlign w:val="superscript"/>
        </w:rPr>
        <w:t>1</w:t>
      </w:r>
      <w:r>
        <w:rPr>
          <w:sz w:val="18"/>
          <w:szCs w:val="18"/>
          <w:vertAlign w:val="superscript"/>
        </w:rPr>
        <w:t xml:space="preserve"> </w:t>
      </w:r>
      <w:r>
        <w:rPr>
          <w:sz w:val="18"/>
          <w:szCs w:val="18"/>
        </w:rPr>
        <w:t xml:space="preserve">Source: </w:t>
      </w:r>
      <w:r w:rsidRPr="00A64EEA">
        <w:rPr>
          <w:sz w:val="18"/>
          <w:szCs w:val="18"/>
        </w:rPr>
        <w:t>GRAS Notice No. GRN 000386 Table</w:t>
      </w:r>
      <w:r>
        <w:rPr>
          <w:sz w:val="18"/>
          <w:szCs w:val="18"/>
        </w:rPr>
        <w:t xml:space="preserve"> 9b and 10b (analysis conducted using at LUFA Nord-West, Oldenburg, Germany)</w:t>
      </w:r>
      <w:r w:rsidR="001646CE">
        <w:rPr>
          <w:sz w:val="18"/>
          <w:szCs w:val="18"/>
        </w:rPr>
        <w:t>.</w:t>
      </w:r>
    </w:p>
    <w:p w14:paraId="7B07B04B" w14:textId="14D2FCC9" w:rsidR="002A16F7" w:rsidRDefault="002A16F7" w:rsidP="00F15D49">
      <w:pPr>
        <w:keepNext/>
        <w:keepLines/>
        <w:rPr>
          <w:sz w:val="18"/>
          <w:szCs w:val="18"/>
        </w:rPr>
      </w:pPr>
      <w:r>
        <w:rPr>
          <w:sz w:val="18"/>
          <w:szCs w:val="18"/>
          <w:vertAlign w:val="superscript"/>
        </w:rPr>
        <w:t xml:space="preserve">2 </w:t>
      </w:r>
      <w:r>
        <w:rPr>
          <w:sz w:val="18"/>
          <w:szCs w:val="18"/>
        </w:rPr>
        <w:t xml:space="preserve">Prior to truncation (PDCAAS values </w:t>
      </w:r>
      <w:r w:rsidR="00742300">
        <w:rPr>
          <w:sz w:val="18"/>
          <w:szCs w:val="18"/>
        </w:rPr>
        <w:t xml:space="preserve">greater than 100% </w:t>
      </w:r>
      <w:r>
        <w:rPr>
          <w:sz w:val="18"/>
          <w:szCs w:val="18"/>
        </w:rPr>
        <w:t>are truncated to 100%)</w:t>
      </w:r>
      <w:r w:rsidR="001646CE">
        <w:rPr>
          <w:sz w:val="18"/>
          <w:szCs w:val="18"/>
        </w:rPr>
        <w:t>.</w:t>
      </w:r>
    </w:p>
    <w:p w14:paraId="7D387652" w14:textId="77777777" w:rsidR="00F15D49" w:rsidRPr="00F15D49" w:rsidRDefault="00F15D49" w:rsidP="00F15D49">
      <w:pPr>
        <w:keepNext/>
        <w:keepLines/>
        <w:rPr>
          <w:szCs w:val="18"/>
        </w:rPr>
      </w:pPr>
    </w:p>
    <w:p w14:paraId="473B1CC3" w14:textId="6E507EA8" w:rsidR="002A16F7" w:rsidRDefault="00D93301" w:rsidP="00E41BD5">
      <w:pPr>
        <w:pStyle w:val="Heading2"/>
      </w:pPr>
      <w:bookmarkStart w:id="686" w:name="_Toc39571027"/>
      <w:bookmarkStart w:id="687" w:name="_Toc39579282"/>
      <w:bookmarkStart w:id="688" w:name="_Toc39579345"/>
      <w:bookmarkStart w:id="689" w:name="_Toc39587103"/>
      <w:bookmarkStart w:id="690" w:name="_Toc39582495"/>
      <w:bookmarkStart w:id="691" w:name="_Toc40264913"/>
      <w:bookmarkStart w:id="692" w:name="_Toc40266389"/>
      <w:bookmarkStart w:id="693" w:name="_Toc40279722"/>
      <w:bookmarkStart w:id="694" w:name="_Toc40282024"/>
      <w:bookmarkStart w:id="695" w:name="_Toc40282186"/>
      <w:bookmarkStart w:id="696" w:name="_Toc40360517"/>
      <w:bookmarkStart w:id="697" w:name="_Toc40353560"/>
      <w:bookmarkStart w:id="698" w:name="_Toc40366907"/>
      <w:bookmarkStart w:id="699" w:name="_Toc40368239"/>
      <w:bookmarkStart w:id="700" w:name="_Toc40382846"/>
      <w:bookmarkStart w:id="701" w:name="_Toc40431045"/>
      <w:bookmarkStart w:id="702" w:name="_Toc40432983"/>
      <w:bookmarkStart w:id="703" w:name="_Toc40447668"/>
      <w:bookmarkStart w:id="704" w:name="_Toc40441197"/>
      <w:bookmarkStart w:id="705" w:name="_Toc40448533"/>
      <w:bookmarkStart w:id="706" w:name="_Toc40449960"/>
      <w:bookmarkStart w:id="707" w:name="_Toc40968305"/>
      <w:bookmarkStart w:id="708" w:name="_Toc41051027"/>
      <w:bookmarkStart w:id="709" w:name="_Toc41046027"/>
      <w:bookmarkStart w:id="710" w:name="_Toc41053485"/>
      <w:bookmarkStart w:id="711" w:name="_Toc44592656"/>
      <w:bookmarkStart w:id="712" w:name="_Toc44596168"/>
      <w:bookmarkStart w:id="713" w:name="_Toc44604563"/>
      <w:bookmarkStart w:id="714" w:name="_Toc54169712"/>
      <w:bookmarkStart w:id="715" w:name="_Toc56090001"/>
      <w:r>
        <w:t>4</w:t>
      </w:r>
      <w:r w:rsidR="002A16F7">
        <w:t>.4</w:t>
      </w:r>
      <w:r w:rsidR="005021AA">
        <w:tab/>
      </w:r>
      <w:r w:rsidR="002A16F7">
        <w:t>Anti</w:t>
      </w:r>
      <w:r w:rsidR="00B429B6">
        <w:t>-</w:t>
      </w:r>
      <w:r w:rsidR="002A16F7">
        <w:t>nutritional factors</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14:paraId="41CB3876" w14:textId="4D30BFBA" w:rsidR="002A16F7" w:rsidRPr="00CC0DFA" w:rsidRDefault="002A16F7" w:rsidP="00D8576B">
      <w:pPr>
        <w:keepNext/>
        <w:keepLines/>
      </w:pPr>
      <w:r>
        <w:t>The applica</w:t>
      </w:r>
      <w:r w:rsidR="00742300">
        <w:t>tion</w:t>
      </w:r>
      <w:r>
        <w:t>:</w:t>
      </w:r>
    </w:p>
    <w:p w14:paraId="2C41D59E" w14:textId="592F6872" w:rsidR="002A16F7" w:rsidRPr="00CC0DFA" w:rsidRDefault="002A16F7" w:rsidP="00D8576B">
      <w:pPr>
        <w:pStyle w:val="ListParagraph"/>
        <w:keepNext/>
        <w:keepLines/>
        <w:widowControl/>
        <w:numPr>
          <w:ilvl w:val="0"/>
          <w:numId w:val="9"/>
        </w:numPr>
      </w:pPr>
      <w:r w:rsidRPr="00CC0DFA">
        <w:t xml:space="preserve">presents the concentration of </w:t>
      </w:r>
      <w:r w:rsidR="00854A24">
        <w:t xml:space="preserve">the following </w:t>
      </w:r>
      <w:r>
        <w:t>anti</w:t>
      </w:r>
      <w:r w:rsidR="003E2FD6">
        <w:t>-</w:t>
      </w:r>
      <w:r w:rsidR="001E4F35">
        <w:t>nutritional factor</w:t>
      </w:r>
      <w:r>
        <w:t>s</w:t>
      </w:r>
      <w:r w:rsidR="00985AFD">
        <w:t xml:space="preserve"> </w:t>
      </w:r>
      <w:r w:rsidR="00741441">
        <w:t xml:space="preserve">from analysis of </w:t>
      </w:r>
      <w:r w:rsidR="00985AFD">
        <w:t xml:space="preserve">five </w:t>
      </w:r>
      <w:r w:rsidR="009E53BE">
        <w:t>batche</w:t>
      </w:r>
      <w:r w:rsidR="009E53BE" w:rsidRPr="00CC0DFA">
        <w:t>s</w:t>
      </w:r>
      <w:r w:rsidR="00D41042">
        <w:t xml:space="preserve"> of CanolaPRO</w:t>
      </w:r>
      <w:r w:rsidRPr="00CC0DFA">
        <w:t>:</w:t>
      </w:r>
    </w:p>
    <w:p w14:paraId="27C9642C" w14:textId="017A5225" w:rsidR="002A16F7" w:rsidRDefault="002A16F7" w:rsidP="00D8576B">
      <w:pPr>
        <w:pStyle w:val="ListParagraph"/>
        <w:keepNext/>
        <w:keepLines/>
        <w:widowControl/>
        <w:numPr>
          <w:ilvl w:val="1"/>
          <w:numId w:val="9"/>
        </w:numPr>
      </w:pPr>
      <w:r w:rsidRPr="00CC0DFA">
        <w:t xml:space="preserve">Total phenolics (expressed as sinapic acid, </w:t>
      </w:r>
      <w:r w:rsidR="00F179CB">
        <w:t>%</w:t>
      </w:r>
      <w:r w:rsidRPr="00CC0DFA">
        <w:t xml:space="preserve">): </w:t>
      </w:r>
      <w:r w:rsidR="00F179CB">
        <w:t>0.060</w:t>
      </w:r>
      <w:r w:rsidRPr="00CC0DFA">
        <w:t>–</w:t>
      </w:r>
      <w:r w:rsidR="00F179CB">
        <w:t>0.088</w:t>
      </w:r>
    </w:p>
    <w:p w14:paraId="57ABF2BA" w14:textId="77777777" w:rsidR="002A16F7" w:rsidRPr="00CC0DFA" w:rsidRDefault="002A16F7" w:rsidP="00D8576B">
      <w:pPr>
        <w:pStyle w:val="ListParagraph"/>
        <w:keepNext/>
        <w:keepLines/>
        <w:widowControl/>
        <w:numPr>
          <w:ilvl w:val="1"/>
          <w:numId w:val="9"/>
        </w:numPr>
      </w:pPr>
      <w:r w:rsidRPr="00CC0DFA">
        <w:t>Phytic acid (%):</w:t>
      </w:r>
      <w:r>
        <w:t xml:space="preserve"> all </w:t>
      </w:r>
      <w:r w:rsidRPr="00CC0DFA">
        <w:t>&lt; 0.14</w:t>
      </w:r>
    </w:p>
    <w:p w14:paraId="5A2B4343" w14:textId="39397CBB" w:rsidR="002A16F7" w:rsidRPr="00CC0DFA" w:rsidRDefault="002A16F7" w:rsidP="00D8576B">
      <w:pPr>
        <w:pStyle w:val="ListParagraph"/>
        <w:keepNext/>
        <w:keepLines/>
        <w:widowControl/>
        <w:numPr>
          <w:ilvl w:val="1"/>
          <w:numId w:val="9"/>
        </w:numPr>
      </w:pPr>
      <w:r w:rsidRPr="00CC0DFA">
        <w:t>Trypsin inhibitor activity (mg/g): 18.5–25.5</w:t>
      </w:r>
    </w:p>
    <w:p w14:paraId="15B5F6D4" w14:textId="765742D9" w:rsidR="002A16F7" w:rsidRDefault="002A16F7" w:rsidP="00D8576B">
      <w:pPr>
        <w:pStyle w:val="ListParagraph"/>
        <w:keepNext/>
        <w:keepLines/>
        <w:widowControl/>
        <w:numPr>
          <w:ilvl w:val="0"/>
          <w:numId w:val="9"/>
        </w:numPr>
      </w:pPr>
      <w:r>
        <w:t xml:space="preserve">proposes a specification for </w:t>
      </w:r>
      <w:r w:rsidR="00202772">
        <w:t xml:space="preserve">CanolaPRO </w:t>
      </w:r>
      <w:r>
        <w:t>for phytate</w:t>
      </w:r>
      <w:r w:rsidR="00985DC2">
        <w:t>:</w:t>
      </w:r>
      <w:r>
        <w:t xml:space="preserve"> </w:t>
      </w:r>
      <w:r w:rsidRPr="006C4475">
        <w:rPr>
          <w:rFonts w:cs="Arial"/>
        </w:rPr>
        <w:t>≤</w:t>
      </w:r>
      <w:r>
        <w:t xml:space="preserve"> 1.5 % w/w</w:t>
      </w:r>
      <w:r w:rsidR="006160C2">
        <w:t>.</w:t>
      </w:r>
    </w:p>
    <w:p w14:paraId="7443742C" w14:textId="77777777" w:rsidR="00985DC2" w:rsidRDefault="00985DC2" w:rsidP="00985DC2">
      <w:pPr>
        <w:widowControl/>
      </w:pPr>
    </w:p>
    <w:p w14:paraId="109ABBCD" w14:textId="1A9BF67B" w:rsidR="00985DC2" w:rsidRDefault="00985DC2" w:rsidP="00985DC2">
      <w:pPr>
        <w:widowControl/>
      </w:pPr>
      <w:r>
        <w:t>Th</w:t>
      </w:r>
      <w:r w:rsidR="002A16F7">
        <w:t>e concentration</w:t>
      </w:r>
      <w:r w:rsidR="00854A24">
        <w:t>s</w:t>
      </w:r>
      <w:r w:rsidR="002A16F7">
        <w:t xml:space="preserve"> of </w:t>
      </w:r>
      <w:r w:rsidR="00535477">
        <w:t>anti-nutritional factors</w:t>
      </w:r>
      <w:r w:rsidR="00535477" w:rsidRPr="00CC0DFA">
        <w:t xml:space="preserve"> </w:t>
      </w:r>
      <w:r w:rsidR="00467B34">
        <w:t>in</w:t>
      </w:r>
      <w:r w:rsidR="002A16F7">
        <w:t xml:space="preserve"> two </w:t>
      </w:r>
      <w:r w:rsidR="00EC49C2">
        <w:t xml:space="preserve">other </w:t>
      </w:r>
      <w:r>
        <w:t xml:space="preserve">rapeseed protein isolates are </w:t>
      </w:r>
      <w:r w:rsidR="00854A24">
        <w:t>available</w:t>
      </w:r>
      <w:r>
        <w:t>. A</w:t>
      </w:r>
      <w:r w:rsidR="002A16F7">
        <w:t xml:space="preserve"> cruciferin-rich rapeseed protein isolate (Mejia </w:t>
      </w:r>
      <w:r w:rsidR="0071622F" w:rsidRPr="0071622F">
        <w:t>et al.</w:t>
      </w:r>
      <w:r w:rsidR="002A16F7">
        <w:t xml:space="preserve"> 2009</w:t>
      </w:r>
      <w:r>
        <w:t>a &amp; GRAS Notice No. GRN 000327) contains:</w:t>
      </w:r>
    </w:p>
    <w:p w14:paraId="701F63B7" w14:textId="77777777" w:rsidR="002A16F7" w:rsidRDefault="002A16F7" w:rsidP="00985DC2">
      <w:pPr>
        <w:pStyle w:val="ListParagraph"/>
        <w:widowControl/>
        <w:numPr>
          <w:ilvl w:val="0"/>
          <w:numId w:val="18"/>
        </w:numPr>
      </w:pPr>
      <w:r w:rsidRPr="00CC0DFA">
        <w:t>Phytic acid (%):</w:t>
      </w:r>
      <w:r>
        <w:t xml:space="preserve"> 0.32</w:t>
      </w:r>
    </w:p>
    <w:p w14:paraId="42CDBC39" w14:textId="2947AC35" w:rsidR="002A16F7" w:rsidRDefault="002A16F7" w:rsidP="00985DC2">
      <w:pPr>
        <w:pStyle w:val="ListParagraph"/>
        <w:widowControl/>
        <w:numPr>
          <w:ilvl w:val="0"/>
          <w:numId w:val="18"/>
        </w:numPr>
      </w:pPr>
      <w:r>
        <w:t>Total phenolics (%): 0.40</w:t>
      </w:r>
      <w:r w:rsidR="008B4B97">
        <w:t>.</w:t>
      </w:r>
    </w:p>
    <w:p w14:paraId="5282D625" w14:textId="77777777" w:rsidR="00DB6356" w:rsidRDefault="00DB6356" w:rsidP="00985DC2"/>
    <w:p w14:paraId="04673EF8" w14:textId="52DBBA31" w:rsidR="00985DC2" w:rsidRDefault="00985DC2" w:rsidP="00985DC2">
      <w:r>
        <w:t>A</w:t>
      </w:r>
      <w:r w:rsidR="002A16F7">
        <w:t xml:space="preserve"> napin-rich rapeseed protein isolate (M</w:t>
      </w:r>
      <w:r>
        <w:t xml:space="preserve">ejia </w:t>
      </w:r>
      <w:r w:rsidR="0071622F" w:rsidRPr="0071622F">
        <w:t>et al.</w:t>
      </w:r>
      <w:r>
        <w:t xml:space="preserve"> 2009b) contains:</w:t>
      </w:r>
    </w:p>
    <w:p w14:paraId="4369A45E" w14:textId="77777777" w:rsidR="002A16F7" w:rsidRDefault="002A16F7" w:rsidP="00985DC2">
      <w:pPr>
        <w:pStyle w:val="ListParagraph"/>
        <w:numPr>
          <w:ilvl w:val="0"/>
          <w:numId w:val="19"/>
        </w:numPr>
      </w:pPr>
      <w:r w:rsidRPr="00CC0DFA">
        <w:t>Phytic acid (%):</w:t>
      </w:r>
      <w:r>
        <w:t xml:space="preserve"> 3.34</w:t>
      </w:r>
    </w:p>
    <w:p w14:paraId="62A1C0C2" w14:textId="2919DC3E" w:rsidR="002A16F7" w:rsidRDefault="002A16F7" w:rsidP="00985DC2">
      <w:pPr>
        <w:pStyle w:val="ListParagraph"/>
        <w:numPr>
          <w:ilvl w:val="0"/>
          <w:numId w:val="19"/>
        </w:numPr>
      </w:pPr>
      <w:r>
        <w:t>Total phenolics (%): 0.26</w:t>
      </w:r>
      <w:r w:rsidR="006160C2">
        <w:t>.</w:t>
      </w:r>
    </w:p>
    <w:p w14:paraId="16214D3E" w14:textId="20EB6965" w:rsidR="002A16F7" w:rsidRDefault="00463B28" w:rsidP="00614DC8">
      <w:pPr>
        <w:pStyle w:val="Heading3"/>
      </w:pPr>
      <w:bookmarkStart w:id="716" w:name="_Toc39571028"/>
      <w:bookmarkStart w:id="717" w:name="_Toc39579283"/>
      <w:bookmarkStart w:id="718" w:name="_Toc39579346"/>
      <w:bookmarkStart w:id="719" w:name="_Toc39587104"/>
      <w:bookmarkStart w:id="720" w:name="_Toc39582496"/>
      <w:bookmarkStart w:id="721" w:name="_Toc40264914"/>
      <w:bookmarkStart w:id="722" w:name="_Toc40266390"/>
      <w:bookmarkStart w:id="723" w:name="_Toc40279723"/>
      <w:bookmarkStart w:id="724" w:name="_Toc40282025"/>
      <w:bookmarkStart w:id="725" w:name="_Toc40282187"/>
      <w:bookmarkStart w:id="726" w:name="_Toc40360518"/>
      <w:bookmarkStart w:id="727" w:name="_Toc40353561"/>
      <w:bookmarkStart w:id="728" w:name="_Toc40366908"/>
      <w:bookmarkStart w:id="729" w:name="_Toc40368240"/>
      <w:bookmarkStart w:id="730" w:name="_Toc40382847"/>
      <w:bookmarkStart w:id="731" w:name="_Toc40431046"/>
      <w:bookmarkStart w:id="732" w:name="_Toc40432984"/>
      <w:bookmarkStart w:id="733" w:name="_Toc40447669"/>
      <w:bookmarkStart w:id="734" w:name="_Toc40441198"/>
      <w:bookmarkStart w:id="735" w:name="_Toc40448534"/>
      <w:bookmarkStart w:id="736" w:name="_Toc40449961"/>
      <w:bookmarkStart w:id="737" w:name="_Toc40968306"/>
      <w:bookmarkStart w:id="738" w:name="_Toc41051028"/>
      <w:bookmarkStart w:id="739" w:name="_Toc41046028"/>
      <w:bookmarkStart w:id="740" w:name="_Toc41053486"/>
      <w:bookmarkStart w:id="741" w:name="_Toc44592657"/>
      <w:bookmarkStart w:id="742" w:name="_Toc44596169"/>
      <w:bookmarkStart w:id="743" w:name="_Toc44604564"/>
      <w:bookmarkStart w:id="744" w:name="_Toc54169713"/>
      <w:bookmarkStart w:id="745" w:name="_Toc56090002"/>
      <w:r>
        <w:t>4</w:t>
      </w:r>
      <w:r w:rsidR="002A16F7">
        <w:t>.4.1</w:t>
      </w:r>
      <w:r w:rsidR="005021AA">
        <w:tab/>
      </w:r>
      <w:r w:rsidR="002A16F7">
        <w:t>Protease inhibitors</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076B4BB4" w14:textId="61B63068" w:rsidR="00594F79" w:rsidRDefault="002A16F7" w:rsidP="002A16F7">
      <w:r w:rsidRPr="00107D23">
        <w:rPr>
          <w:rFonts w:cs="Arial"/>
        </w:rPr>
        <w:t>Protease inhibitors</w:t>
      </w:r>
      <w:r w:rsidR="00594F79">
        <w:rPr>
          <w:rFonts w:cs="Arial"/>
        </w:rPr>
        <w:t>, such as trypsin inhibitors,</w:t>
      </w:r>
      <w:r w:rsidRPr="00107D23">
        <w:rPr>
          <w:rFonts w:cs="Arial"/>
        </w:rPr>
        <w:t xml:space="preserve"> are </w:t>
      </w:r>
      <w:r w:rsidRPr="00B01106">
        <w:rPr>
          <w:rFonts w:cs="Arial"/>
        </w:rPr>
        <w:t>found in many plants including the seeds of most legumes a</w:t>
      </w:r>
      <w:r>
        <w:rPr>
          <w:rFonts w:cs="Arial"/>
        </w:rPr>
        <w:t xml:space="preserve">nd cereals. </w:t>
      </w:r>
      <w:r w:rsidR="00594F79">
        <w:rPr>
          <w:rFonts w:cs="Arial"/>
        </w:rPr>
        <w:t>Inhibition of proteases</w:t>
      </w:r>
      <w:r>
        <w:rPr>
          <w:rFonts w:cs="Arial"/>
        </w:rPr>
        <w:t xml:space="preserve"> in the gut can reduce protein digestion</w:t>
      </w:r>
      <w:r w:rsidRPr="00B01106">
        <w:rPr>
          <w:rFonts w:cs="Arial"/>
        </w:rPr>
        <w:t xml:space="preserve">. </w:t>
      </w:r>
      <w:r>
        <w:rPr>
          <w:rFonts w:cs="Arial"/>
        </w:rPr>
        <w:t xml:space="preserve">The </w:t>
      </w:r>
      <w:r w:rsidR="00645090">
        <w:rPr>
          <w:rFonts w:cs="Arial"/>
        </w:rPr>
        <w:t xml:space="preserve">application reports the </w:t>
      </w:r>
      <w:r>
        <w:rPr>
          <w:rFonts w:cs="Arial"/>
        </w:rPr>
        <w:t xml:space="preserve">trypsin inhibitor activity </w:t>
      </w:r>
      <w:r w:rsidR="00645090">
        <w:rPr>
          <w:rFonts w:cs="Arial"/>
        </w:rPr>
        <w:t>of</w:t>
      </w:r>
      <w:r>
        <w:rPr>
          <w:rFonts w:cs="Arial"/>
        </w:rPr>
        <w:t xml:space="preserve"> </w:t>
      </w:r>
      <w:r w:rsidR="00202772">
        <w:rPr>
          <w:rFonts w:cs="Arial"/>
        </w:rPr>
        <w:t xml:space="preserve">CanolaPRO </w:t>
      </w:r>
      <w:r w:rsidR="00645090">
        <w:rPr>
          <w:rFonts w:cs="Arial"/>
        </w:rPr>
        <w:t xml:space="preserve">batches </w:t>
      </w:r>
      <w:r w:rsidR="00B12AF8">
        <w:rPr>
          <w:rFonts w:cs="Arial"/>
        </w:rPr>
        <w:t>ranging from</w:t>
      </w:r>
      <w:r>
        <w:t xml:space="preserve"> </w:t>
      </w:r>
      <w:r w:rsidRPr="00CC0DFA">
        <w:t>18.5</w:t>
      </w:r>
      <w:r w:rsidR="00B12AF8">
        <w:t xml:space="preserve"> to </w:t>
      </w:r>
      <w:r w:rsidRPr="00CC0DFA">
        <w:t>25.5</w:t>
      </w:r>
      <w:r w:rsidR="00645090">
        <w:t> </w:t>
      </w:r>
      <w:r w:rsidRPr="00CC0DFA">
        <w:t>mg/g</w:t>
      </w:r>
      <w:r>
        <w:t xml:space="preserve"> protein. At the proposed </w:t>
      </w:r>
      <w:r w:rsidR="00F04EE7">
        <w:t xml:space="preserve">typical use level of </w:t>
      </w:r>
      <w:r w:rsidR="00202772">
        <w:t xml:space="preserve">CanolaPRO </w:t>
      </w:r>
      <w:r w:rsidR="00A83E2D">
        <w:t>up to</w:t>
      </w:r>
      <w:r w:rsidR="00D913E2">
        <w:t xml:space="preserve"> </w:t>
      </w:r>
      <w:r w:rsidR="00F37B28">
        <w:t>10</w:t>
      </w:r>
      <w:r>
        <w:t xml:space="preserve">%, this equates to a maximum trypsin inhibitor activity of </w:t>
      </w:r>
      <w:r w:rsidR="00F37B28">
        <w:t>1.9</w:t>
      </w:r>
      <w:r>
        <w:t>–</w:t>
      </w:r>
      <w:r w:rsidR="00F37B28">
        <w:t>2.6</w:t>
      </w:r>
      <w:r>
        <w:t xml:space="preserve"> mg/g food. </w:t>
      </w:r>
      <w:r w:rsidR="002C062C">
        <w:t xml:space="preserve">At the proposed maximum use level of </w:t>
      </w:r>
      <w:r w:rsidR="00202772">
        <w:t xml:space="preserve">CanolaPRO </w:t>
      </w:r>
      <w:r w:rsidR="002C062C">
        <w:t>of 30%, this equates to a maximum</w:t>
      </w:r>
      <w:r w:rsidR="002C062C" w:rsidRPr="002C062C">
        <w:t xml:space="preserve"> </w:t>
      </w:r>
      <w:r w:rsidR="002C062C">
        <w:t>trypsin inhibitor activity of 5.6–7.7 mg/g food.</w:t>
      </w:r>
    </w:p>
    <w:p w14:paraId="6B5337CC" w14:textId="77777777" w:rsidR="00594F79" w:rsidRDefault="00594F79" w:rsidP="002A16F7"/>
    <w:p w14:paraId="3F7069EE" w14:textId="7B937B92" w:rsidR="00594F79" w:rsidRDefault="002A16F7" w:rsidP="002A16F7">
      <w:r w:rsidRPr="00B01106">
        <w:rPr>
          <w:rFonts w:cs="Arial"/>
        </w:rPr>
        <w:t>Protease inhibitors can be denatured by heating which inactivates them.</w:t>
      </w:r>
      <w:r>
        <w:rPr>
          <w:rFonts w:cs="Arial"/>
        </w:rPr>
        <w:t xml:space="preserve"> As many of the food categories proposed </w:t>
      </w:r>
      <w:r w:rsidR="00577148">
        <w:rPr>
          <w:rFonts w:cs="Arial"/>
        </w:rPr>
        <w:t xml:space="preserve">to contain rapeseed protein isolate </w:t>
      </w:r>
      <w:r>
        <w:rPr>
          <w:rFonts w:cs="Arial"/>
        </w:rPr>
        <w:t xml:space="preserve">may be heat processed, the final </w:t>
      </w:r>
      <w:r>
        <w:t xml:space="preserve">trypsin inhibitor activity in the food </w:t>
      </w:r>
      <w:r w:rsidR="0069728A">
        <w:t xml:space="preserve">is likely to </w:t>
      </w:r>
      <w:r>
        <w:t xml:space="preserve">be lower. No guidance value for usual dietary intake </w:t>
      </w:r>
      <w:r w:rsidR="00577148">
        <w:t xml:space="preserve">of </w:t>
      </w:r>
      <w:r w:rsidR="00656A35">
        <w:t>protease (trypsin) inhibitors</w:t>
      </w:r>
      <w:r w:rsidR="00577148">
        <w:t xml:space="preserve"> </w:t>
      </w:r>
      <w:r>
        <w:t xml:space="preserve">or limits for </w:t>
      </w:r>
      <w:r w:rsidR="00656A35">
        <w:t xml:space="preserve">its concentration in </w:t>
      </w:r>
      <w:r>
        <w:t xml:space="preserve">individual products </w:t>
      </w:r>
      <w:r w:rsidR="009724C7">
        <w:t>have been establish</w:t>
      </w:r>
      <w:r>
        <w:t>e</w:t>
      </w:r>
      <w:r w:rsidR="009724C7">
        <w:t>d</w:t>
      </w:r>
      <w:r>
        <w:t xml:space="preserve">. The protease inhibitor activity of </w:t>
      </w:r>
      <w:r w:rsidR="00202772">
        <w:t xml:space="preserve">CanolaPRO </w:t>
      </w:r>
      <w:r>
        <w:t xml:space="preserve">can be compared with that of other foods. Xiao </w:t>
      </w:r>
      <w:r w:rsidR="0071622F" w:rsidRPr="0071622F">
        <w:t>et al.</w:t>
      </w:r>
      <w:r>
        <w:t xml:space="preserve"> (2012) report</w:t>
      </w:r>
      <w:r w:rsidR="00EE1ACF">
        <w:t xml:space="preserve">ed </w:t>
      </w:r>
      <w:r>
        <w:t>that soybeans ha</w:t>
      </w:r>
      <w:r w:rsidR="0069728A">
        <w:t>ve</w:t>
      </w:r>
      <w:r>
        <w:t xml:space="preserve"> a high protease inhibitor content, although the final content in soy foods after manufacturing could vary. </w:t>
      </w:r>
      <w:r w:rsidR="00B50644">
        <w:t xml:space="preserve">Doell </w:t>
      </w:r>
      <w:r w:rsidR="0071622F" w:rsidRPr="0071622F">
        <w:t>et al.</w:t>
      </w:r>
      <w:r w:rsidR="00B50644">
        <w:t xml:space="preserve"> (1981) reported </w:t>
      </w:r>
      <w:r w:rsidR="0069728A">
        <w:t>trypsin</w:t>
      </w:r>
      <w:r>
        <w:t xml:space="preserve"> inhibitor activit</w:t>
      </w:r>
      <w:r w:rsidR="00D6798E">
        <w:t>ies</w:t>
      </w:r>
      <w:r>
        <w:t xml:space="preserve"> for raw </w:t>
      </w:r>
      <w:r w:rsidR="00D6798E">
        <w:t xml:space="preserve">soybeans, </w:t>
      </w:r>
      <w:r>
        <w:t xml:space="preserve">raw </w:t>
      </w:r>
      <w:r w:rsidR="00D6798E">
        <w:t xml:space="preserve">tofu, </w:t>
      </w:r>
      <w:r>
        <w:t xml:space="preserve">and cooked tofu </w:t>
      </w:r>
      <w:r w:rsidR="00D6798E">
        <w:t xml:space="preserve">as 49.6, </w:t>
      </w:r>
      <w:r>
        <w:t xml:space="preserve">9.2 and 5.5 mg/g protein, respectively. </w:t>
      </w:r>
    </w:p>
    <w:p w14:paraId="54D7E9A6" w14:textId="77777777" w:rsidR="00594F79" w:rsidRDefault="00594F79" w:rsidP="002A16F7"/>
    <w:p w14:paraId="169CEE03" w14:textId="63F87E42" w:rsidR="002A16F7" w:rsidRDefault="00594F79" w:rsidP="002A16F7">
      <w:pPr>
        <w:rPr>
          <w:rFonts w:cs="Arial"/>
        </w:rPr>
      </w:pPr>
      <w:r>
        <w:rPr>
          <w:rFonts w:cs="Arial"/>
        </w:rPr>
        <w:t>As described</w:t>
      </w:r>
      <w:r w:rsidR="00535477">
        <w:rPr>
          <w:rFonts w:cs="Arial"/>
        </w:rPr>
        <w:t xml:space="preserve"> in Section 4</w:t>
      </w:r>
      <w:r w:rsidR="002A16F7">
        <w:rPr>
          <w:rFonts w:cs="Arial"/>
        </w:rPr>
        <w:t>.3</w:t>
      </w:r>
      <w:r>
        <w:rPr>
          <w:rFonts w:cs="Arial"/>
        </w:rPr>
        <w:t xml:space="preserve">, </w:t>
      </w:r>
      <w:r w:rsidR="002A16F7">
        <w:rPr>
          <w:rFonts w:cs="Arial"/>
        </w:rPr>
        <w:t>the protein quality of rapeseed protein isolate is high and favourable when compared to</w:t>
      </w:r>
      <w:r w:rsidR="00645090">
        <w:rPr>
          <w:rFonts w:cs="Arial"/>
        </w:rPr>
        <w:t>,</w:t>
      </w:r>
      <w:r w:rsidR="002A16F7">
        <w:rPr>
          <w:rFonts w:cs="Arial"/>
        </w:rPr>
        <w:t xml:space="preserve"> </w:t>
      </w:r>
      <w:r w:rsidR="00645090">
        <w:rPr>
          <w:rFonts w:cs="Arial"/>
        </w:rPr>
        <w:t>for example,</w:t>
      </w:r>
      <w:r w:rsidR="002A16F7">
        <w:rPr>
          <w:rFonts w:cs="Arial"/>
        </w:rPr>
        <w:t xml:space="preserve"> soy protein isolate. </w:t>
      </w:r>
      <w:r w:rsidR="00746BD6">
        <w:rPr>
          <w:rFonts w:cs="Arial"/>
        </w:rPr>
        <w:t xml:space="preserve">Therefore, </w:t>
      </w:r>
      <w:r w:rsidR="00B107EF">
        <w:rPr>
          <w:rFonts w:cs="Arial"/>
        </w:rPr>
        <w:t xml:space="preserve">any potential </w:t>
      </w:r>
      <w:r w:rsidR="00746BD6">
        <w:rPr>
          <w:rFonts w:cs="Arial"/>
        </w:rPr>
        <w:t xml:space="preserve">inhibition of protein digestion </w:t>
      </w:r>
      <w:r w:rsidR="00645090">
        <w:rPr>
          <w:rFonts w:cs="Arial"/>
        </w:rPr>
        <w:t>due to</w:t>
      </w:r>
      <w:r w:rsidR="00746BD6">
        <w:rPr>
          <w:rFonts w:cs="Arial"/>
        </w:rPr>
        <w:t xml:space="preserve"> the presence of </w:t>
      </w:r>
      <w:r w:rsidR="002A16F7">
        <w:rPr>
          <w:rFonts w:cs="Arial"/>
        </w:rPr>
        <w:t xml:space="preserve">protease inhibitors </w:t>
      </w:r>
      <w:r>
        <w:rPr>
          <w:rFonts w:cs="Arial"/>
        </w:rPr>
        <w:t xml:space="preserve">in </w:t>
      </w:r>
      <w:r w:rsidR="00202772">
        <w:rPr>
          <w:rFonts w:cs="Arial"/>
        </w:rPr>
        <w:t xml:space="preserve">CanolaPRO </w:t>
      </w:r>
      <w:r w:rsidR="00B107EF">
        <w:rPr>
          <w:rFonts w:cs="Arial"/>
        </w:rPr>
        <w:t>does not raise nutritional concerns</w:t>
      </w:r>
      <w:r w:rsidR="002A16F7">
        <w:rPr>
          <w:rFonts w:cs="Arial"/>
        </w:rPr>
        <w:t>.</w:t>
      </w:r>
    </w:p>
    <w:p w14:paraId="116BD8FF" w14:textId="3C58F5EB" w:rsidR="002A16F7" w:rsidRDefault="00C348AE" w:rsidP="00614DC8">
      <w:pPr>
        <w:pStyle w:val="Heading3"/>
      </w:pPr>
      <w:bookmarkStart w:id="746" w:name="_Toc39571029"/>
      <w:bookmarkStart w:id="747" w:name="_Toc39579284"/>
      <w:bookmarkStart w:id="748" w:name="_Toc39579347"/>
      <w:bookmarkStart w:id="749" w:name="_Toc39587105"/>
      <w:bookmarkStart w:id="750" w:name="_Toc39582497"/>
      <w:bookmarkStart w:id="751" w:name="_Toc40264915"/>
      <w:bookmarkStart w:id="752" w:name="_Toc40266391"/>
      <w:bookmarkStart w:id="753" w:name="_Toc40279724"/>
      <w:bookmarkStart w:id="754" w:name="_Toc40282026"/>
      <w:bookmarkStart w:id="755" w:name="_Toc40282188"/>
      <w:bookmarkStart w:id="756" w:name="_Toc40360519"/>
      <w:bookmarkStart w:id="757" w:name="_Toc40353562"/>
      <w:bookmarkStart w:id="758" w:name="_Toc40366909"/>
      <w:bookmarkStart w:id="759" w:name="_Toc40368241"/>
      <w:bookmarkStart w:id="760" w:name="_Toc40382848"/>
      <w:bookmarkStart w:id="761" w:name="_Toc40431047"/>
      <w:bookmarkStart w:id="762" w:name="_Toc40432985"/>
      <w:bookmarkStart w:id="763" w:name="_Toc40447670"/>
      <w:bookmarkStart w:id="764" w:name="_Toc40441199"/>
      <w:bookmarkStart w:id="765" w:name="_Toc40448535"/>
      <w:bookmarkStart w:id="766" w:name="_Toc40449962"/>
      <w:bookmarkStart w:id="767" w:name="_Toc40968307"/>
      <w:bookmarkStart w:id="768" w:name="_Toc41051029"/>
      <w:bookmarkStart w:id="769" w:name="_Toc41046029"/>
      <w:bookmarkStart w:id="770" w:name="_Toc41053487"/>
      <w:bookmarkStart w:id="771" w:name="_Toc44592658"/>
      <w:bookmarkStart w:id="772" w:name="_Toc44596170"/>
      <w:bookmarkStart w:id="773" w:name="_Toc44604565"/>
      <w:bookmarkStart w:id="774" w:name="_Toc54169714"/>
      <w:bookmarkStart w:id="775" w:name="_Toc56090003"/>
      <w:r>
        <w:t>4</w:t>
      </w:r>
      <w:r w:rsidR="002A16F7">
        <w:t>.4.2</w:t>
      </w:r>
      <w:r w:rsidR="005021AA">
        <w:tab/>
      </w:r>
      <w:r w:rsidR="00CB7B92">
        <w:t>P</w:t>
      </w:r>
      <w:r w:rsidR="002A16F7">
        <w:t>hytate</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71707644" w14:textId="502E9F93" w:rsidR="002A16F7" w:rsidRPr="0086025D" w:rsidRDefault="002A16F7" w:rsidP="002A16F7">
      <w:pPr>
        <w:rPr>
          <w:i/>
        </w:rPr>
      </w:pPr>
      <w:r w:rsidRPr="0086025D">
        <w:t xml:space="preserve">Phytates are salt forms </w:t>
      </w:r>
      <w:r w:rsidRPr="0022414C">
        <w:rPr>
          <w:color w:val="000000" w:themeColor="text1"/>
        </w:rPr>
        <w:t>of phytic acid</w:t>
      </w:r>
      <w:r w:rsidR="00A65922">
        <w:rPr>
          <w:color w:val="000000" w:themeColor="text1"/>
        </w:rPr>
        <w:t xml:space="preserve">, a phosphorus storage </w:t>
      </w:r>
      <w:r w:rsidR="003D432E">
        <w:rPr>
          <w:color w:val="000000" w:themeColor="text1"/>
        </w:rPr>
        <w:t>compound</w:t>
      </w:r>
      <w:r w:rsidR="00A65922">
        <w:rPr>
          <w:color w:val="000000" w:themeColor="text1"/>
        </w:rPr>
        <w:t xml:space="preserve"> </w:t>
      </w:r>
      <w:r w:rsidR="00D647BD">
        <w:rPr>
          <w:color w:val="000000" w:themeColor="text1"/>
        </w:rPr>
        <w:t>present</w:t>
      </w:r>
      <w:r w:rsidR="00A65922">
        <w:rPr>
          <w:color w:val="000000" w:themeColor="text1"/>
        </w:rPr>
        <w:t xml:space="preserve"> in plants</w:t>
      </w:r>
      <w:r w:rsidRPr="0022414C">
        <w:rPr>
          <w:color w:val="000000" w:themeColor="text1"/>
        </w:rPr>
        <w:t xml:space="preserve">. </w:t>
      </w:r>
      <w:r w:rsidR="00A65922">
        <w:rPr>
          <w:color w:val="000000" w:themeColor="text1"/>
        </w:rPr>
        <w:t>Phytates</w:t>
      </w:r>
      <w:r w:rsidRPr="0022414C">
        <w:rPr>
          <w:color w:val="000000" w:themeColor="text1"/>
        </w:rPr>
        <w:t xml:space="preserve"> can reduce mineral bioavailability by chelating (binding) mineral ions</w:t>
      </w:r>
      <w:r w:rsidR="008213E6">
        <w:rPr>
          <w:color w:val="000000" w:themeColor="text1"/>
        </w:rPr>
        <w:t>,</w:t>
      </w:r>
      <w:r w:rsidRPr="0022414C">
        <w:rPr>
          <w:color w:val="000000" w:themeColor="text1"/>
        </w:rPr>
        <w:t xml:space="preserve"> particularly iron and zinc</w:t>
      </w:r>
      <w:r w:rsidR="009E1D69">
        <w:rPr>
          <w:color w:val="000000" w:themeColor="text1"/>
        </w:rPr>
        <w:t>,</w:t>
      </w:r>
      <w:r w:rsidRPr="0022414C">
        <w:rPr>
          <w:color w:val="000000" w:themeColor="text1"/>
        </w:rPr>
        <w:t xml:space="preserve"> but also calcium</w:t>
      </w:r>
      <w:r w:rsidR="00F754DD">
        <w:rPr>
          <w:color w:val="000000" w:themeColor="text1"/>
        </w:rPr>
        <w:t xml:space="preserve"> and </w:t>
      </w:r>
      <w:r w:rsidRPr="0022414C">
        <w:rPr>
          <w:color w:val="000000" w:themeColor="text1"/>
        </w:rPr>
        <w:t xml:space="preserve">manganese (Hurrell 2003). Mineral deficiency due to phytate intake </w:t>
      </w:r>
      <w:r w:rsidR="00F754DD">
        <w:rPr>
          <w:color w:val="000000" w:themeColor="text1"/>
        </w:rPr>
        <w:t>d</w:t>
      </w:r>
      <w:r w:rsidRPr="0022414C">
        <w:rPr>
          <w:color w:val="000000" w:themeColor="text1"/>
        </w:rPr>
        <w:t>epend</w:t>
      </w:r>
      <w:r w:rsidR="00DF65DC">
        <w:rPr>
          <w:color w:val="000000" w:themeColor="text1"/>
        </w:rPr>
        <w:t>s</w:t>
      </w:r>
      <w:r w:rsidRPr="0022414C">
        <w:rPr>
          <w:color w:val="000000" w:themeColor="text1"/>
        </w:rPr>
        <w:t xml:space="preserve"> on the extent of consumption of phytate-rich foods in the total diet, in part</w:t>
      </w:r>
      <w:r>
        <w:t>icular the contribution of cereal proteins (</w:t>
      </w:r>
      <w:r w:rsidRPr="00BC7679">
        <w:t>Gemede and Ratta 2014</w:t>
      </w:r>
      <w:r>
        <w:t xml:space="preserve">). Phytate has </w:t>
      </w:r>
      <w:r w:rsidR="00F754DD">
        <w:t>also</w:t>
      </w:r>
      <w:r>
        <w:t xml:space="preserve"> been associated with beneficial health outcomes, which </w:t>
      </w:r>
      <w:r w:rsidR="00746BD6">
        <w:t>are</w:t>
      </w:r>
      <w:r w:rsidR="009E1D69">
        <w:t xml:space="preserve"> </w:t>
      </w:r>
      <w:r>
        <w:t xml:space="preserve">not </w:t>
      </w:r>
      <w:r w:rsidR="00746BD6">
        <w:t>considered</w:t>
      </w:r>
      <w:r>
        <w:t xml:space="preserve"> in this report. The negative impact </w:t>
      </w:r>
      <w:r w:rsidR="00012AE7">
        <w:t xml:space="preserve">of phytates </w:t>
      </w:r>
      <w:r>
        <w:t xml:space="preserve">on mineral </w:t>
      </w:r>
      <w:r w:rsidR="00012AE7">
        <w:t>absorption</w:t>
      </w:r>
      <w:r>
        <w:t xml:space="preserve"> may be attenuated by the consumption of enhancers of mineral bioavailability</w:t>
      </w:r>
      <w:r w:rsidR="00012AE7">
        <w:t>, such as vitamin C</w:t>
      </w:r>
      <w:r w:rsidR="00D647BD">
        <w:t xml:space="preserve"> which enhances the bioavailability of non-haem iron.</w:t>
      </w:r>
    </w:p>
    <w:p w14:paraId="1A708094" w14:textId="7EABC08A" w:rsidR="00A75E81" w:rsidRDefault="006B7E55">
      <w:pPr>
        <w:pStyle w:val="Heading4"/>
      </w:pPr>
      <w:r>
        <w:t>4.4.2.1</w:t>
      </w:r>
      <w:r w:rsidR="005021AA">
        <w:tab/>
      </w:r>
      <w:r w:rsidR="002A16F7">
        <w:t>Phytate</w:t>
      </w:r>
      <w:r w:rsidR="002A16F7" w:rsidRPr="002358C9">
        <w:t xml:space="preserve"> concentrat</w:t>
      </w:r>
      <w:r w:rsidR="002A16F7">
        <w:t>ion</w:t>
      </w:r>
      <w:r w:rsidR="00CB5208">
        <w:t xml:space="preserve"> of rapeseed protein isolates</w:t>
      </w:r>
    </w:p>
    <w:p w14:paraId="04214350" w14:textId="2D6290BD" w:rsidR="002A16F7" w:rsidRDefault="002A16F7" w:rsidP="002A16F7">
      <w:r>
        <w:t xml:space="preserve">The applicant reported phytate </w:t>
      </w:r>
      <w:r w:rsidR="002619B7">
        <w:t xml:space="preserve">levels of &lt;0.14% </w:t>
      </w:r>
      <w:r>
        <w:t xml:space="preserve">in </w:t>
      </w:r>
      <w:r w:rsidR="00DF65DC">
        <w:t>batches of</w:t>
      </w:r>
      <w:r>
        <w:t xml:space="preserve"> </w:t>
      </w:r>
      <w:r w:rsidR="00202772">
        <w:t xml:space="preserve">CanolaPRO </w:t>
      </w:r>
      <w:r>
        <w:t xml:space="preserve">and has proposed a specification of </w:t>
      </w:r>
      <w:r>
        <w:rPr>
          <w:rFonts w:cs="Arial"/>
        </w:rPr>
        <w:t>≤</w:t>
      </w:r>
      <w:r>
        <w:t xml:space="preserve">1.5%. The GRAS Notice No. 000386 reports the concentration of phytate </w:t>
      </w:r>
      <w:r w:rsidR="009414DF">
        <w:t xml:space="preserve">in other rapeseed protein isolates </w:t>
      </w:r>
      <w:r>
        <w:t xml:space="preserve">to be &lt;1.25% (Isolexx from </w:t>
      </w:r>
      <w:r w:rsidRPr="00746BD6">
        <w:rPr>
          <w:i/>
        </w:rPr>
        <w:t xml:space="preserve">Brassica </w:t>
      </w:r>
      <w:r w:rsidR="00746BD6" w:rsidRPr="00746BD6">
        <w:rPr>
          <w:i/>
        </w:rPr>
        <w:t>j</w:t>
      </w:r>
      <w:r w:rsidRPr="00746BD6">
        <w:rPr>
          <w:i/>
        </w:rPr>
        <w:t>uncea</w:t>
      </w:r>
      <w:r w:rsidR="008213E6">
        <w:t>),</w:t>
      </w:r>
      <w:r>
        <w:t xml:space="preserve"> and &lt;1.0% (Vitalexx from </w:t>
      </w:r>
      <w:r w:rsidRPr="00746BD6">
        <w:rPr>
          <w:i/>
        </w:rPr>
        <w:t xml:space="preserve">Brassica </w:t>
      </w:r>
      <w:r w:rsidR="00746BD6" w:rsidRPr="00746BD6">
        <w:rPr>
          <w:i/>
        </w:rPr>
        <w:t>j</w:t>
      </w:r>
      <w:r w:rsidRPr="00746BD6">
        <w:rPr>
          <w:i/>
        </w:rPr>
        <w:t>uncea</w:t>
      </w:r>
      <w:r w:rsidR="008213E6">
        <w:t xml:space="preserve"> and</w:t>
      </w:r>
      <w:r w:rsidRPr="00F27A0C">
        <w:t xml:space="preserve"> </w:t>
      </w:r>
      <w:r w:rsidRPr="00746BD6">
        <w:rPr>
          <w:i/>
        </w:rPr>
        <w:t xml:space="preserve">Brassica </w:t>
      </w:r>
      <w:r w:rsidR="00746BD6" w:rsidRPr="00746BD6">
        <w:rPr>
          <w:i/>
        </w:rPr>
        <w:t>n</w:t>
      </w:r>
      <w:r w:rsidRPr="00746BD6">
        <w:rPr>
          <w:i/>
        </w:rPr>
        <w:t>apus</w:t>
      </w:r>
      <w:r w:rsidR="00261933">
        <w:t xml:space="preserve">). </w:t>
      </w:r>
      <w:r>
        <w:t xml:space="preserve">GRAS Notice No. 000327 </w:t>
      </w:r>
      <w:r w:rsidR="00261933">
        <w:t>reports phytic acid concentrations for rapeseed protein isolates of</w:t>
      </w:r>
      <w:r>
        <w:t xml:space="preserve"> 0.32% in </w:t>
      </w:r>
      <w:r w:rsidRPr="004A2283">
        <w:t>Puratein</w:t>
      </w:r>
      <w:r>
        <w:rPr>
          <w:rFonts w:cs="Arial"/>
        </w:rPr>
        <w:t>™</w:t>
      </w:r>
      <w:r w:rsidR="00261933">
        <w:t>,</w:t>
      </w:r>
      <w:r>
        <w:t xml:space="preserve"> and 3.34% in </w:t>
      </w:r>
      <w:r w:rsidRPr="004A2283">
        <w:t>Supertein</w:t>
      </w:r>
      <w:r>
        <w:t xml:space="preserve">. The specification for phytate in the EC 2014/424/EU regulation is </w:t>
      </w:r>
      <w:r>
        <w:rPr>
          <w:rFonts w:cs="Arial"/>
        </w:rPr>
        <w:t>≤</w:t>
      </w:r>
      <w:r>
        <w:t>1.5</w:t>
      </w:r>
      <w:r w:rsidRPr="000D0E1D">
        <w:t>%. This threshold may have been</w:t>
      </w:r>
      <w:r>
        <w:t xml:space="preserve"> chosen</w:t>
      </w:r>
      <w:r w:rsidRPr="000D0E1D">
        <w:t xml:space="preserve"> because the novel food ingredient</w:t>
      </w:r>
      <w:r>
        <w:t xml:space="preserve"> </w:t>
      </w:r>
      <w:r w:rsidRPr="000D0E1D">
        <w:t xml:space="preserve">(Isolexx) that EFSA (2013) assessed contained </w:t>
      </w:r>
      <w:r w:rsidRPr="000D0E1D">
        <w:rPr>
          <w:rFonts w:cs="Arial"/>
        </w:rPr>
        <w:t>≤</w:t>
      </w:r>
      <w:r w:rsidR="00700B53">
        <w:t>1.5% phytate.</w:t>
      </w:r>
    </w:p>
    <w:p w14:paraId="1DA0C4F4" w14:textId="1BD2C885" w:rsidR="006B7E55" w:rsidRDefault="006B7E55">
      <w:pPr>
        <w:pStyle w:val="Heading4"/>
      </w:pPr>
      <w:r>
        <w:t>4.4.2.2</w:t>
      </w:r>
      <w:r w:rsidR="005021AA">
        <w:tab/>
      </w:r>
      <w:r w:rsidR="002A16F7" w:rsidRPr="004248A3">
        <w:t>Adverse effects</w:t>
      </w:r>
    </w:p>
    <w:p w14:paraId="30AC1D34" w14:textId="3288C11D" w:rsidR="002A16F7" w:rsidRPr="004248A3" w:rsidRDefault="002A16F7" w:rsidP="002A16F7">
      <w:pPr>
        <w:rPr>
          <w:color w:val="000000" w:themeColor="text1"/>
        </w:rPr>
      </w:pPr>
      <w:r w:rsidRPr="004248A3">
        <w:rPr>
          <w:color w:val="000000" w:themeColor="text1"/>
        </w:rPr>
        <w:t xml:space="preserve">Phytate </w:t>
      </w:r>
      <w:r w:rsidR="00882B5C">
        <w:rPr>
          <w:color w:val="000000" w:themeColor="text1"/>
        </w:rPr>
        <w:t>in foods</w:t>
      </w:r>
      <w:r w:rsidRPr="004248A3">
        <w:rPr>
          <w:color w:val="000000" w:themeColor="text1"/>
        </w:rPr>
        <w:t xml:space="preserve"> </w:t>
      </w:r>
      <w:r w:rsidR="00882B5C">
        <w:rPr>
          <w:color w:val="000000" w:themeColor="text1"/>
        </w:rPr>
        <w:t>can reduce</w:t>
      </w:r>
      <w:r w:rsidRPr="004248A3">
        <w:rPr>
          <w:color w:val="000000" w:themeColor="text1"/>
        </w:rPr>
        <w:t xml:space="preserve"> </w:t>
      </w:r>
      <w:r w:rsidR="00B14103">
        <w:rPr>
          <w:color w:val="000000" w:themeColor="text1"/>
        </w:rPr>
        <w:t xml:space="preserve">the </w:t>
      </w:r>
      <w:r w:rsidRPr="004248A3">
        <w:rPr>
          <w:color w:val="000000" w:themeColor="text1"/>
        </w:rPr>
        <w:t>bioavailability</w:t>
      </w:r>
      <w:r w:rsidR="00B14103">
        <w:rPr>
          <w:color w:val="000000" w:themeColor="text1"/>
        </w:rPr>
        <w:t xml:space="preserve"> of minerals</w:t>
      </w:r>
      <w:r w:rsidRPr="004248A3">
        <w:rPr>
          <w:color w:val="000000" w:themeColor="text1"/>
        </w:rPr>
        <w:t xml:space="preserve"> such as zinc and iron</w:t>
      </w:r>
      <w:r w:rsidR="00E76F1E">
        <w:rPr>
          <w:color w:val="000000" w:themeColor="text1"/>
        </w:rPr>
        <w:t xml:space="preserve">, </w:t>
      </w:r>
      <w:r w:rsidR="00E76F1E" w:rsidRPr="00E76F1E">
        <w:rPr>
          <w:color w:val="000000" w:themeColor="text1"/>
        </w:rPr>
        <w:t>so high intakes of phytate may pose a risk to</w:t>
      </w:r>
      <w:r w:rsidRPr="004248A3">
        <w:rPr>
          <w:color w:val="000000" w:themeColor="text1"/>
        </w:rPr>
        <w:t xml:space="preserve"> individuals </w:t>
      </w:r>
      <w:r w:rsidR="00E76F1E" w:rsidRPr="00E76F1E">
        <w:rPr>
          <w:color w:val="000000" w:themeColor="text1"/>
        </w:rPr>
        <w:t xml:space="preserve">at higher risk of low iron and zinc status, such as those following vegan or vegetarian diets. </w:t>
      </w:r>
      <w:r w:rsidR="00E76F1E">
        <w:rPr>
          <w:color w:val="000000" w:themeColor="text1"/>
        </w:rPr>
        <w:t>P</w:t>
      </w:r>
      <w:r w:rsidRPr="004248A3">
        <w:rPr>
          <w:color w:val="000000" w:themeColor="text1"/>
        </w:rPr>
        <w:t xml:space="preserve">hytates can inhibit non-haem iron absorption (Beck </w:t>
      </w:r>
      <w:r w:rsidR="0071622F" w:rsidRPr="0071622F">
        <w:rPr>
          <w:color w:val="000000" w:themeColor="text1"/>
        </w:rPr>
        <w:t>et al.</w:t>
      </w:r>
      <w:r>
        <w:rPr>
          <w:color w:val="000000" w:themeColor="text1"/>
        </w:rPr>
        <w:t xml:space="preserve"> </w:t>
      </w:r>
      <w:r w:rsidR="007E6AC5">
        <w:rPr>
          <w:color w:val="000000" w:themeColor="text1"/>
        </w:rPr>
        <w:t>2014)</w:t>
      </w:r>
      <w:r w:rsidR="00E76F1E">
        <w:rPr>
          <w:color w:val="000000" w:themeColor="text1"/>
        </w:rPr>
        <w:t>, and</w:t>
      </w:r>
      <w:r w:rsidR="007E6AC5">
        <w:rPr>
          <w:color w:val="000000" w:themeColor="text1"/>
        </w:rPr>
        <w:t xml:space="preserve"> </w:t>
      </w:r>
      <w:r w:rsidR="00E76F1E">
        <w:rPr>
          <w:color w:val="000000" w:themeColor="text1"/>
        </w:rPr>
        <w:t>t</w:t>
      </w:r>
      <w:r w:rsidR="00D22266">
        <w:rPr>
          <w:color w:val="000000" w:themeColor="text1"/>
        </w:rPr>
        <w:t xml:space="preserve">he </w:t>
      </w:r>
      <w:r w:rsidRPr="002527AC">
        <w:rPr>
          <w:color w:val="000000" w:themeColor="text1"/>
        </w:rPr>
        <w:t xml:space="preserve">bioavailability </w:t>
      </w:r>
      <w:r w:rsidR="00D22266">
        <w:rPr>
          <w:color w:val="000000" w:themeColor="text1"/>
        </w:rPr>
        <w:t>of non-hae</w:t>
      </w:r>
      <w:r w:rsidR="00D22266" w:rsidRPr="002527AC">
        <w:rPr>
          <w:color w:val="000000" w:themeColor="text1"/>
        </w:rPr>
        <w:t xml:space="preserve">m iron </w:t>
      </w:r>
      <w:r w:rsidRPr="002527AC">
        <w:rPr>
          <w:color w:val="000000" w:themeColor="text1"/>
        </w:rPr>
        <w:t xml:space="preserve">is generally lower than that of haem iron, </w:t>
      </w:r>
      <w:r w:rsidR="00D22266">
        <w:rPr>
          <w:color w:val="000000" w:themeColor="text1"/>
        </w:rPr>
        <w:t xml:space="preserve">and is </w:t>
      </w:r>
      <w:r w:rsidR="007E6AC5">
        <w:rPr>
          <w:color w:val="000000" w:themeColor="text1"/>
        </w:rPr>
        <w:t>more variable (</w:t>
      </w:r>
      <w:r w:rsidRPr="002527AC">
        <w:rPr>
          <w:rFonts w:cs="Arial"/>
        </w:rPr>
        <w:t>Carpenter and Mahoney 1992</w:t>
      </w:r>
      <w:r>
        <w:rPr>
          <w:rFonts w:cs="Arial"/>
        </w:rPr>
        <w:t>)</w:t>
      </w:r>
      <w:r w:rsidR="007E6AC5">
        <w:rPr>
          <w:rFonts w:cs="Arial"/>
        </w:rPr>
        <w:t>.</w:t>
      </w:r>
    </w:p>
    <w:p w14:paraId="4E4C4E70" w14:textId="77CA6E36" w:rsidR="006B7E55" w:rsidRPr="006B7E55" w:rsidRDefault="006B7E55" w:rsidP="006B7E55">
      <w:pPr>
        <w:pStyle w:val="Heading4"/>
      </w:pPr>
      <w:r>
        <w:t>4.4.2.3</w:t>
      </w:r>
      <w:r w:rsidR="005021AA">
        <w:tab/>
      </w:r>
      <w:r w:rsidR="002A16F7" w:rsidRPr="000A4E4E">
        <w:t xml:space="preserve">Phytate </w:t>
      </w:r>
      <w:r w:rsidR="002A16F7">
        <w:t xml:space="preserve">content in </w:t>
      </w:r>
      <w:r w:rsidR="008D7E84">
        <w:t>foods</w:t>
      </w:r>
    </w:p>
    <w:p w14:paraId="17EFFE1C" w14:textId="431E8E90" w:rsidR="002A16F7" w:rsidRPr="006B7E55" w:rsidRDefault="00246549" w:rsidP="002A16F7">
      <w:pPr>
        <w:rPr>
          <w:i/>
        </w:rPr>
      </w:pPr>
      <w:r>
        <w:t xml:space="preserve">The calculated phytate concentration in products </w:t>
      </w:r>
      <w:r w:rsidR="008D7E84">
        <w:t xml:space="preserve">proposed to </w:t>
      </w:r>
      <w:r>
        <w:t>contain rapeseed protein isolate is compared to that of foods without added rapeseed protein isolate</w:t>
      </w:r>
      <w:r w:rsidRPr="00246549">
        <w:t xml:space="preserve"> </w:t>
      </w:r>
      <w:r>
        <w:t xml:space="preserve">(Table 4.4). </w:t>
      </w:r>
      <w:r w:rsidR="002A16F7">
        <w:t xml:space="preserve">The use of rapeseed protein isolate containing 1.5% w/w phytate (the maximum level proposed </w:t>
      </w:r>
      <w:r>
        <w:t>in</w:t>
      </w:r>
      <w:r w:rsidR="002A16F7">
        <w:t xml:space="preserve"> </w:t>
      </w:r>
      <w:r w:rsidR="00206D70">
        <w:t xml:space="preserve">the </w:t>
      </w:r>
      <w:r>
        <w:t>application</w:t>
      </w:r>
      <w:r w:rsidR="002A16F7">
        <w:t xml:space="preserve">) at the </w:t>
      </w:r>
      <w:r>
        <w:t xml:space="preserve">proposed </w:t>
      </w:r>
      <w:r w:rsidR="005C416F">
        <w:t xml:space="preserve">typical and maximum </w:t>
      </w:r>
      <w:r w:rsidR="002A16F7">
        <w:t>use level</w:t>
      </w:r>
      <w:r w:rsidR="00795B9D">
        <w:t>s</w:t>
      </w:r>
      <w:r w:rsidR="009414DF">
        <w:t xml:space="preserve"> of rapeseed protein isolate</w:t>
      </w:r>
      <w:r w:rsidR="002A16F7">
        <w:t xml:space="preserve">, was used to calculate the phytate content </w:t>
      </w:r>
      <w:r w:rsidR="00206D70">
        <w:t xml:space="preserve">in </w:t>
      </w:r>
      <w:r>
        <w:t xml:space="preserve">various </w:t>
      </w:r>
      <w:r w:rsidR="00206D70">
        <w:t>foods</w:t>
      </w:r>
      <w:r w:rsidR="002A16F7">
        <w:t xml:space="preserve">. A comparison using the phytate concentration of 3.34% in </w:t>
      </w:r>
      <w:r w:rsidR="002A16F7" w:rsidRPr="004A2283">
        <w:t xml:space="preserve">Supertein </w:t>
      </w:r>
      <w:r w:rsidR="002A16F7">
        <w:t xml:space="preserve">is also provided. </w:t>
      </w:r>
      <w:r w:rsidR="002C062C">
        <w:t xml:space="preserve">At the proposed typical use </w:t>
      </w:r>
      <w:r w:rsidR="003B0D63">
        <w:t>level</w:t>
      </w:r>
      <w:r w:rsidR="002C062C">
        <w:t xml:space="preserve"> of </w:t>
      </w:r>
      <w:r w:rsidR="00D41042">
        <w:rPr>
          <w:rFonts w:cs="Arial"/>
        </w:rPr>
        <w:t>CanolaPRO</w:t>
      </w:r>
      <w:r w:rsidR="002C062C">
        <w:rPr>
          <w:rFonts w:cs="Arial"/>
        </w:rPr>
        <w:t xml:space="preserve">, </w:t>
      </w:r>
      <w:r w:rsidR="002C062C">
        <w:t>t</w:t>
      </w:r>
      <w:r w:rsidR="002A16F7">
        <w:t>he range of re</w:t>
      </w:r>
      <w:r w:rsidR="002A16F7" w:rsidRPr="006F413D">
        <w:t>sulting phytate concentrations derived from rapeseed protein isolate across food categories is 0.075–0.</w:t>
      </w:r>
      <w:r w:rsidR="006F413D" w:rsidRPr="006F413D">
        <w:t>1</w:t>
      </w:r>
      <w:r w:rsidR="002A16F7" w:rsidRPr="006F413D">
        <w:t>5% (</w:t>
      </w:r>
      <w:r w:rsidR="001A25FA" w:rsidRPr="006F413D">
        <w:t>using a</w:t>
      </w:r>
      <w:r w:rsidR="002A16F7" w:rsidRPr="006F413D">
        <w:t xml:space="preserve"> phytate content </w:t>
      </w:r>
      <w:r w:rsidR="001A25FA" w:rsidRPr="006F413D">
        <w:t xml:space="preserve">of </w:t>
      </w:r>
      <w:r w:rsidR="002A16F7" w:rsidRPr="006F413D">
        <w:t>1.5% w/w) and 0.17–</w:t>
      </w:r>
      <w:r w:rsidR="006F413D" w:rsidRPr="006F413D">
        <w:t>0</w:t>
      </w:r>
      <w:r w:rsidR="002A16F7" w:rsidRPr="006F413D">
        <w:t>.</w:t>
      </w:r>
      <w:r w:rsidR="006F413D" w:rsidRPr="006F413D">
        <w:t>33</w:t>
      </w:r>
      <w:r w:rsidR="002A16F7" w:rsidRPr="006F413D">
        <w:t>% (</w:t>
      </w:r>
      <w:r w:rsidR="001A25FA" w:rsidRPr="006F413D">
        <w:t>using a</w:t>
      </w:r>
      <w:r w:rsidR="00795B9D" w:rsidRPr="006F413D">
        <w:t xml:space="preserve"> </w:t>
      </w:r>
      <w:r w:rsidR="002A16F7" w:rsidRPr="006F413D">
        <w:t>phytate</w:t>
      </w:r>
      <w:r w:rsidR="002A16F7">
        <w:t xml:space="preserve"> content </w:t>
      </w:r>
      <w:r w:rsidR="001A25FA">
        <w:t>of</w:t>
      </w:r>
      <w:r w:rsidR="002A16F7">
        <w:t xml:space="preserve"> 3.34% w/w).</w:t>
      </w:r>
      <w:r w:rsidR="005C416F">
        <w:t xml:space="preserve"> The respective </w:t>
      </w:r>
      <w:r w:rsidR="003B0D63">
        <w:t>phytate concentrations</w:t>
      </w:r>
      <w:r w:rsidR="005C416F">
        <w:t xml:space="preserve"> at the proposed maximum use level are </w:t>
      </w:r>
      <w:r w:rsidR="005C416F" w:rsidRPr="006F413D">
        <w:t>0.075–0.</w:t>
      </w:r>
      <w:r w:rsidR="005C416F">
        <w:t>4</w:t>
      </w:r>
      <w:r w:rsidR="005C416F" w:rsidRPr="006F413D">
        <w:t>5%</w:t>
      </w:r>
      <w:r w:rsidR="005C416F">
        <w:t xml:space="preserve"> and </w:t>
      </w:r>
      <w:r w:rsidR="005C416F" w:rsidRPr="006F413D">
        <w:t>0.17–</w:t>
      </w:r>
      <w:r w:rsidR="005C416F">
        <w:t>1.0%.</w:t>
      </w:r>
    </w:p>
    <w:p w14:paraId="6CF42427" w14:textId="77777777" w:rsidR="002A16F7" w:rsidRDefault="002A16F7" w:rsidP="002A16F7"/>
    <w:p w14:paraId="6D1BDDE8" w14:textId="425C924D" w:rsidR="002A16F7" w:rsidRDefault="002A16F7" w:rsidP="002A16F7">
      <w:r>
        <w:t xml:space="preserve">Three </w:t>
      </w:r>
      <w:r w:rsidR="009A5BE8">
        <w:t>food</w:t>
      </w:r>
      <w:r>
        <w:t xml:space="preserve"> categories </w:t>
      </w:r>
      <w:r w:rsidR="00697F14">
        <w:t xml:space="preserve">can </w:t>
      </w:r>
      <w:r>
        <w:t>contain relatively high levels of phytate: whole beans</w:t>
      </w:r>
      <w:r w:rsidR="009A5BE8">
        <w:t xml:space="preserve"> (</w:t>
      </w:r>
      <w:r w:rsidR="000C6E83">
        <w:t>0.2–9.2</w:t>
      </w:r>
      <w:r w:rsidR="000C6E83" w:rsidRPr="000C6E83">
        <w:t>%</w:t>
      </w:r>
      <w:r w:rsidR="009A5BE8">
        <w:t>)</w:t>
      </w:r>
      <w:r>
        <w:t>; bean-based foods (e.g. tofu: 2.9%); and</w:t>
      </w:r>
      <w:r w:rsidR="0077254F">
        <w:t xml:space="preserve"> </w:t>
      </w:r>
      <w:r>
        <w:t>nuts</w:t>
      </w:r>
      <w:r w:rsidR="009A5BE8">
        <w:t xml:space="preserve"> (</w:t>
      </w:r>
      <w:r w:rsidR="00697F14">
        <w:t>0.2</w:t>
      </w:r>
      <w:r w:rsidR="00697F14" w:rsidRPr="00697F14">
        <w:t>–</w:t>
      </w:r>
      <w:r w:rsidR="00697F14">
        <w:t>9.4%</w:t>
      </w:r>
      <w:r w:rsidR="009A5BE8">
        <w:t>)</w:t>
      </w:r>
      <w:r>
        <w:t>.</w:t>
      </w:r>
      <w:r w:rsidR="00157151">
        <w:t xml:space="preserve"> </w:t>
      </w:r>
      <w:r w:rsidR="0077254F">
        <w:t>H</w:t>
      </w:r>
      <w:r>
        <w:t>igh bran ready-to-eat cereal is also high in phytate (3.</w:t>
      </w:r>
      <w:r w:rsidR="00697F14">
        <w:t>3</w:t>
      </w:r>
      <w:r>
        <w:t xml:space="preserve">%). Variation in phytate levels within </w:t>
      </w:r>
      <w:r w:rsidR="00502BE4">
        <w:t xml:space="preserve">food </w:t>
      </w:r>
      <w:r>
        <w:t>categories</w:t>
      </w:r>
      <w:r w:rsidR="00502BE4">
        <w:t xml:space="preserve"> and sub-categories</w:t>
      </w:r>
      <w:r>
        <w:t xml:space="preserve"> is apparent. For breads, differences in the extent of fermentation and extraction rate </w:t>
      </w:r>
      <w:r w:rsidR="001A75E4">
        <w:t xml:space="preserve">of </w:t>
      </w:r>
      <w:r>
        <w:t xml:space="preserve">flour may contribute to the variation. Within one type of bean, differences in growing condition and cultivars may account for variation (Reddy 2002). Differences in phytate or phytic acid content may also be attributed to the stage of </w:t>
      </w:r>
      <w:r w:rsidRPr="00F9389F">
        <w:t>maturation and method of analysis used (Schlemmer</w:t>
      </w:r>
      <w:r>
        <w:t xml:space="preserve"> </w:t>
      </w:r>
      <w:r w:rsidR="0071622F" w:rsidRPr="0071622F">
        <w:t>et al.</w:t>
      </w:r>
      <w:r w:rsidRPr="00F9389F">
        <w:t xml:space="preserve"> 2009).</w:t>
      </w:r>
    </w:p>
    <w:p w14:paraId="635A9C96" w14:textId="77777777" w:rsidR="002321D5" w:rsidRDefault="002321D5" w:rsidP="0081144C">
      <w:pPr>
        <w:pStyle w:val="FSTableTitle"/>
      </w:pPr>
    </w:p>
    <w:p w14:paraId="6EB74DF9" w14:textId="522241CB" w:rsidR="002A16F7" w:rsidRDefault="002A16F7" w:rsidP="00F15D49">
      <w:pPr>
        <w:pStyle w:val="FSTableTitle"/>
        <w:keepNext/>
        <w:keepLines/>
        <w:rPr>
          <w:b w:val="0"/>
          <w:i/>
        </w:rPr>
      </w:pPr>
      <w:r w:rsidRPr="005021AA">
        <w:rPr>
          <w:i/>
        </w:rPr>
        <w:t xml:space="preserve">Table </w:t>
      </w:r>
      <w:r w:rsidR="00C348AE" w:rsidRPr="005021AA">
        <w:rPr>
          <w:i/>
        </w:rPr>
        <w:t>4</w:t>
      </w:r>
      <w:r w:rsidRPr="005021AA">
        <w:rPr>
          <w:i/>
        </w:rPr>
        <w:t>.4</w:t>
      </w:r>
      <w:r w:rsidR="00F62886">
        <w:rPr>
          <w:i/>
        </w:rPr>
        <w:t xml:space="preserve"> </w:t>
      </w:r>
      <w:r w:rsidRPr="005021AA">
        <w:rPr>
          <w:b w:val="0"/>
          <w:i/>
        </w:rPr>
        <w:t xml:space="preserve">Phytate content in foods </w:t>
      </w:r>
      <w:r w:rsidR="0002517D" w:rsidRPr="005021AA">
        <w:rPr>
          <w:b w:val="0"/>
          <w:i/>
        </w:rPr>
        <w:t xml:space="preserve">proposed to </w:t>
      </w:r>
      <w:r w:rsidRPr="005021AA">
        <w:rPr>
          <w:b w:val="0"/>
          <w:i/>
        </w:rPr>
        <w:t>contain rapeseed protein isolate and other dietary sources</w:t>
      </w:r>
    </w:p>
    <w:p w14:paraId="41E21513" w14:textId="77777777" w:rsidR="00F15D49" w:rsidRPr="00F15D49" w:rsidRDefault="00F15D49" w:rsidP="00F15D49">
      <w:pPr>
        <w:keepNext/>
        <w:keepLines/>
      </w:pPr>
    </w:p>
    <w:tbl>
      <w:tblPr>
        <w:tblStyle w:val="TableGrid"/>
        <w:tblW w:w="0" w:type="auto"/>
        <w:tblLook w:val="04A0" w:firstRow="1" w:lastRow="0" w:firstColumn="1" w:lastColumn="0" w:noHBand="0" w:noVBand="1"/>
        <w:tblCaption w:val="Table 4.4 Phytate content in foods containing rapeseed protein isolate and other dietary sources."/>
        <w:tblDescription w:val="Table 4.4 contains 6 columns. Column 1 lists the source of the data. Column 2 lists the food category. Column 3 lists examples for the food category. Column 4 lists the proposed typical use level of rapeseed protein isolate for the food categories that DSM propose CanolaPROTM to be used in. For the first six rows of data, there is a column 5 and column 6. Column 5 presents the estimated phytate content as a percentage of the food when assuming that phytate is 1.5% in the rapeseed protein isolate. Column 6 presents the estimated phytate content as a percentage of the food when assuming that phytate is 3.34% in the rapeseed protein isolate. For the rows of data after the first six rows of data, there is no sixth column. For the latter rows, column 5 presents the phytate content of the respective food categories described in columns 2 and 3. "/>
      </w:tblPr>
      <w:tblGrid>
        <w:gridCol w:w="1357"/>
        <w:gridCol w:w="1473"/>
        <w:gridCol w:w="2977"/>
        <w:gridCol w:w="1280"/>
        <w:gridCol w:w="990"/>
        <w:gridCol w:w="983"/>
      </w:tblGrid>
      <w:tr w:rsidR="002A16F7" w:rsidRPr="0049774A" w14:paraId="7AA21245" w14:textId="77777777" w:rsidTr="00AD2928">
        <w:trPr>
          <w:cantSplit/>
          <w:tblHeader/>
        </w:trPr>
        <w:tc>
          <w:tcPr>
            <w:tcW w:w="1357" w:type="dxa"/>
          </w:tcPr>
          <w:p w14:paraId="09372D57" w14:textId="77777777" w:rsidR="002A16F7" w:rsidRPr="00AE724F" w:rsidRDefault="002A16F7" w:rsidP="00F15D49">
            <w:pPr>
              <w:pStyle w:val="FSTableHeading"/>
              <w:keepNext/>
              <w:keepLines/>
              <w:jc w:val="left"/>
              <w:rPr>
                <w:rFonts w:ascii="Arial" w:hAnsi="Arial"/>
                <w:sz w:val="18"/>
                <w:szCs w:val="18"/>
                <w:lang w:bidi="ar-SA"/>
              </w:rPr>
            </w:pPr>
            <w:r w:rsidRPr="00AE724F">
              <w:rPr>
                <w:rFonts w:ascii="Arial" w:hAnsi="Arial"/>
                <w:sz w:val="18"/>
                <w:szCs w:val="18"/>
                <w:lang w:bidi="ar-SA"/>
              </w:rPr>
              <w:t>Source</w:t>
            </w:r>
          </w:p>
        </w:tc>
        <w:tc>
          <w:tcPr>
            <w:tcW w:w="1473" w:type="dxa"/>
          </w:tcPr>
          <w:p w14:paraId="24D31B07" w14:textId="3B6FB9AD" w:rsidR="002A16F7" w:rsidRPr="00AE724F" w:rsidRDefault="002A16F7" w:rsidP="00F15D49">
            <w:pPr>
              <w:pStyle w:val="FSTableHeading"/>
              <w:keepNext/>
              <w:keepLines/>
              <w:jc w:val="left"/>
              <w:rPr>
                <w:rFonts w:ascii="Arial" w:hAnsi="Arial"/>
                <w:sz w:val="18"/>
                <w:szCs w:val="18"/>
                <w:lang w:bidi="ar-SA"/>
              </w:rPr>
            </w:pPr>
            <w:r w:rsidRPr="00AE724F">
              <w:rPr>
                <w:rFonts w:ascii="Arial" w:hAnsi="Arial"/>
                <w:sz w:val="18"/>
                <w:szCs w:val="18"/>
                <w:lang w:bidi="ar-SA"/>
              </w:rPr>
              <w:t>Food category</w:t>
            </w:r>
          </w:p>
        </w:tc>
        <w:tc>
          <w:tcPr>
            <w:tcW w:w="2977" w:type="dxa"/>
          </w:tcPr>
          <w:p w14:paraId="51C0ACC4" w14:textId="77777777" w:rsidR="002A16F7" w:rsidRPr="00AE724F" w:rsidRDefault="002A16F7" w:rsidP="00F15D49">
            <w:pPr>
              <w:pStyle w:val="FSTableHeading"/>
              <w:keepNext/>
              <w:keepLines/>
              <w:jc w:val="left"/>
              <w:rPr>
                <w:rFonts w:ascii="Arial" w:hAnsi="Arial"/>
                <w:sz w:val="18"/>
                <w:szCs w:val="18"/>
                <w:lang w:bidi="ar-SA"/>
              </w:rPr>
            </w:pPr>
            <w:r w:rsidRPr="00AE724F">
              <w:rPr>
                <w:rFonts w:ascii="Arial" w:hAnsi="Arial"/>
                <w:sz w:val="18"/>
                <w:szCs w:val="18"/>
                <w:lang w:bidi="ar-SA"/>
              </w:rPr>
              <w:t>Examples</w:t>
            </w:r>
          </w:p>
        </w:tc>
        <w:tc>
          <w:tcPr>
            <w:tcW w:w="1280" w:type="dxa"/>
          </w:tcPr>
          <w:p w14:paraId="67B0B125" w14:textId="50A52E26" w:rsidR="002A16F7" w:rsidRPr="00AE724F" w:rsidRDefault="002A16F7" w:rsidP="00F04EE7">
            <w:pPr>
              <w:pStyle w:val="FSTableHeading"/>
              <w:keepNext/>
              <w:keepLines/>
              <w:jc w:val="right"/>
              <w:rPr>
                <w:rFonts w:ascii="Arial" w:hAnsi="Arial"/>
                <w:sz w:val="18"/>
                <w:szCs w:val="18"/>
                <w:lang w:bidi="ar-SA"/>
              </w:rPr>
            </w:pPr>
            <w:r w:rsidRPr="00AE724F">
              <w:rPr>
                <w:rFonts w:ascii="Arial" w:hAnsi="Arial"/>
                <w:sz w:val="18"/>
                <w:szCs w:val="18"/>
                <w:lang w:bidi="ar-SA"/>
              </w:rPr>
              <w:t xml:space="preserve">Proposed </w:t>
            </w:r>
            <w:r w:rsidR="00F04EE7">
              <w:rPr>
                <w:rFonts w:ascii="Arial" w:hAnsi="Arial"/>
                <w:sz w:val="18"/>
                <w:szCs w:val="18"/>
                <w:lang w:bidi="ar-SA"/>
              </w:rPr>
              <w:t>typical</w:t>
            </w:r>
            <w:r w:rsidR="00F04EE7" w:rsidRPr="00AE724F">
              <w:rPr>
                <w:rFonts w:ascii="Arial" w:hAnsi="Arial"/>
                <w:sz w:val="18"/>
                <w:szCs w:val="18"/>
                <w:lang w:bidi="ar-SA"/>
              </w:rPr>
              <w:t xml:space="preserve"> </w:t>
            </w:r>
            <w:r w:rsidRPr="00AE724F">
              <w:rPr>
                <w:rFonts w:ascii="Arial" w:hAnsi="Arial"/>
                <w:sz w:val="18"/>
                <w:szCs w:val="18"/>
                <w:lang w:bidi="ar-SA"/>
              </w:rPr>
              <w:t xml:space="preserve">use level </w:t>
            </w:r>
            <w:r w:rsidR="009A408A" w:rsidRPr="00AE724F">
              <w:rPr>
                <w:rFonts w:ascii="Arial" w:hAnsi="Arial"/>
                <w:sz w:val="18"/>
                <w:szCs w:val="18"/>
                <w:lang w:bidi="ar-SA"/>
              </w:rPr>
              <w:t>of rapeseed protein isolate</w:t>
            </w:r>
            <w:r w:rsidR="003B0D63">
              <w:rPr>
                <w:rFonts w:ascii="Arial" w:hAnsi="Arial"/>
                <w:sz w:val="18"/>
                <w:szCs w:val="18"/>
                <w:vertAlign w:val="superscript"/>
                <w:lang w:bidi="ar-SA"/>
              </w:rPr>
              <w:t>3</w:t>
            </w:r>
            <w:r w:rsidR="0099139D" w:rsidRPr="00AE724F">
              <w:rPr>
                <w:rFonts w:ascii="Arial" w:hAnsi="Arial"/>
                <w:sz w:val="18"/>
                <w:szCs w:val="18"/>
                <w:lang w:bidi="ar-SA"/>
              </w:rPr>
              <w:t xml:space="preserve"> </w:t>
            </w:r>
            <w:r w:rsidRPr="00AE724F">
              <w:rPr>
                <w:rFonts w:ascii="Arial" w:hAnsi="Arial"/>
                <w:sz w:val="18"/>
                <w:szCs w:val="18"/>
                <w:lang w:bidi="ar-SA"/>
              </w:rPr>
              <w:t>(%)</w:t>
            </w:r>
          </w:p>
        </w:tc>
        <w:tc>
          <w:tcPr>
            <w:tcW w:w="1973" w:type="dxa"/>
            <w:gridSpan w:val="2"/>
          </w:tcPr>
          <w:p w14:paraId="0088BF66" w14:textId="12E667E9" w:rsidR="002A16F7" w:rsidRPr="00AE724F" w:rsidRDefault="002A16F7" w:rsidP="00F15D49">
            <w:pPr>
              <w:pStyle w:val="Default"/>
              <w:keepNext/>
              <w:keepLines/>
              <w:jc w:val="center"/>
              <w:rPr>
                <w:b/>
                <w:bCs/>
                <w:sz w:val="18"/>
                <w:szCs w:val="18"/>
              </w:rPr>
            </w:pPr>
            <w:r w:rsidRPr="00AE724F">
              <w:rPr>
                <w:b/>
                <w:bCs/>
                <w:sz w:val="18"/>
                <w:szCs w:val="18"/>
              </w:rPr>
              <w:t>Phytate/phytic acid content</w:t>
            </w:r>
            <w:r w:rsidR="003B0D63">
              <w:rPr>
                <w:b/>
                <w:bCs/>
                <w:sz w:val="18"/>
                <w:szCs w:val="18"/>
                <w:vertAlign w:val="superscript"/>
              </w:rPr>
              <w:t>4</w:t>
            </w:r>
            <w:r w:rsidRPr="00AE724F">
              <w:rPr>
                <w:b/>
                <w:bCs/>
                <w:sz w:val="18"/>
                <w:szCs w:val="18"/>
              </w:rPr>
              <w:t xml:space="preserve"> (%)</w:t>
            </w:r>
          </w:p>
          <w:p w14:paraId="19234F33" w14:textId="77777777" w:rsidR="002A16F7" w:rsidRPr="00AE724F" w:rsidRDefault="002A16F7" w:rsidP="00F15D49">
            <w:pPr>
              <w:pStyle w:val="Default"/>
              <w:keepNext/>
              <w:keepLines/>
              <w:rPr>
                <w:b/>
                <w:bCs/>
                <w:sz w:val="18"/>
                <w:szCs w:val="18"/>
              </w:rPr>
            </w:pPr>
          </w:p>
        </w:tc>
      </w:tr>
      <w:tr w:rsidR="002A16F7" w:rsidRPr="0049774A" w14:paraId="1B2513A2" w14:textId="77777777" w:rsidTr="00AD2928">
        <w:trPr>
          <w:cantSplit/>
        </w:trPr>
        <w:tc>
          <w:tcPr>
            <w:tcW w:w="1357" w:type="dxa"/>
            <w:vMerge w:val="restart"/>
          </w:tcPr>
          <w:p w14:paraId="36A3D5FE" w14:textId="21739C24" w:rsidR="002A16F7" w:rsidRPr="00AE724F" w:rsidRDefault="002A16F7" w:rsidP="00770057">
            <w:pPr>
              <w:pStyle w:val="FSTableText"/>
              <w:keepNext/>
              <w:keepLines/>
              <w:rPr>
                <w:sz w:val="18"/>
                <w:szCs w:val="18"/>
                <w:lang w:bidi="ar-SA"/>
              </w:rPr>
            </w:pPr>
            <w:r w:rsidRPr="00AE724F">
              <w:rPr>
                <w:sz w:val="18"/>
                <w:szCs w:val="18"/>
                <w:lang w:bidi="ar-SA"/>
              </w:rPr>
              <w:t xml:space="preserve">DSM </w:t>
            </w:r>
            <w:r w:rsidR="00202772">
              <w:rPr>
                <w:sz w:val="18"/>
                <w:szCs w:val="18"/>
                <w:lang w:bidi="ar-SA"/>
              </w:rPr>
              <w:t xml:space="preserve">CanolaPRO </w:t>
            </w:r>
            <w:r w:rsidRPr="00AE724F">
              <w:rPr>
                <w:sz w:val="18"/>
                <w:szCs w:val="18"/>
                <w:lang w:bidi="ar-SA"/>
              </w:rPr>
              <w:t>application</w:t>
            </w:r>
          </w:p>
        </w:tc>
        <w:tc>
          <w:tcPr>
            <w:tcW w:w="1473" w:type="dxa"/>
          </w:tcPr>
          <w:p w14:paraId="46554950" w14:textId="77777777" w:rsidR="002A16F7" w:rsidRPr="00AE724F" w:rsidRDefault="002A16F7" w:rsidP="00770057">
            <w:pPr>
              <w:pStyle w:val="FSTableText"/>
              <w:keepNext/>
              <w:keepLines/>
              <w:rPr>
                <w:sz w:val="18"/>
                <w:szCs w:val="18"/>
                <w:lang w:bidi="ar-SA"/>
              </w:rPr>
            </w:pPr>
            <w:r w:rsidRPr="00AE724F">
              <w:rPr>
                <w:sz w:val="18"/>
                <w:szCs w:val="18"/>
                <w:lang w:bidi="ar-SA"/>
              </w:rPr>
              <w:t>Bakery products, Cereals and cereal products</w:t>
            </w:r>
          </w:p>
        </w:tc>
        <w:tc>
          <w:tcPr>
            <w:tcW w:w="2977" w:type="dxa"/>
          </w:tcPr>
          <w:p w14:paraId="0A7C1F92" w14:textId="77777777" w:rsidR="00140066" w:rsidRPr="00AE724F" w:rsidRDefault="00140066" w:rsidP="00770057">
            <w:pPr>
              <w:pStyle w:val="FSTableText"/>
              <w:keepNext/>
              <w:keepLines/>
              <w:rPr>
                <w:sz w:val="18"/>
                <w:szCs w:val="18"/>
                <w:lang w:bidi="ar-SA"/>
              </w:rPr>
            </w:pPr>
            <w:r w:rsidRPr="00AE724F">
              <w:rPr>
                <w:sz w:val="18"/>
                <w:szCs w:val="18"/>
                <w:lang w:bidi="ar-SA"/>
              </w:rPr>
              <w:t>Breads and rolls; doughnuts; cookies; crackers; cakes;</w:t>
            </w:r>
          </w:p>
          <w:p w14:paraId="4E45D64D" w14:textId="123B6851" w:rsidR="002A16F7" w:rsidRPr="00AE724F" w:rsidRDefault="00140066" w:rsidP="00770057">
            <w:pPr>
              <w:pStyle w:val="FSTableText"/>
              <w:keepNext/>
              <w:keepLines/>
              <w:rPr>
                <w:sz w:val="18"/>
                <w:szCs w:val="18"/>
                <w:lang w:bidi="ar-SA"/>
              </w:rPr>
            </w:pPr>
            <w:r w:rsidRPr="00AE724F">
              <w:rPr>
                <w:sz w:val="18"/>
                <w:szCs w:val="18"/>
                <w:lang w:bidi="ar-SA"/>
              </w:rPr>
              <w:t>pies; batters; muffins; cereal and granola bars;</w:t>
            </w:r>
            <w:r w:rsidR="00AD2928">
              <w:rPr>
                <w:sz w:val="18"/>
                <w:szCs w:val="18"/>
                <w:lang w:bidi="ar-SA"/>
              </w:rPr>
              <w:t xml:space="preserve"> </w:t>
            </w:r>
            <w:r w:rsidRPr="00AE724F">
              <w:rPr>
                <w:sz w:val="18"/>
                <w:szCs w:val="18"/>
                <w:lang w:bidi="ar-SA"/>
              </w:rPr>
              <w:t>breakfast cereals</w:t>
            </w:r>
          </w:p>
        </w:tc>
        <w:tc>
          <w:tcPr>
            <w:tcW w:w="1280" w:type="dxa"/>
          </w:tcPr>
          <w:p w14:paraId="683B1B84" w14:textId="77777777" w:rsidR="002A16F7" w:rsidRPr="00AE724F" w:rsidRDefault="002A16F7" w:rsidP="00770057">
            <w:pPr>
              <w:pStyle w:val="FSTableText"/>
              <w:keepNext/>
              <w:keepLines/>
              <w:jc w:val="right"/>
              <w:rPr>
                <w:sz w:val="18"/>
                <w:szCs w:val="18"/>
                <w:lang w:bidi="ar-SA"/>
              </w:rPr>
            </w:pPr>
            <w:r w:rsidRPr="00AE724F">
              <w:rPr>
                <w:sz w:val="18"/>
                <w:szCs w:val="18"/>
                <w:lang w:bidi="ar-SA"/>
              </w:rPr>
              <w:t>5</w:t>
            </w:r>
          </w:p>
        </w:tc>
        <w:tc>
          <w:tcPr>
            <w:tcW w:w="990" w:type="dxa"/>
          </w:tcPr>
          <w:p w14:paraId="3E9B8519" w14:textId="77777777" w:rsidR="002A16F7" w:rsidRPr="004C15F1" w:rsidRDefault="002A16F7" w:rsidP="00770057">
            <w:pPr>
              <w:pStyle w:val="FSTableText"/>
              <w:keepNext/>
              <w:keepLines/>
              <w:jc w:val="center"/>
              <w:rPr>
                <w:sz w:val="18"/>
                <w:szCs w:val="18"/>
                <w:lang w:bidi="ar-SA"/>
              </w:rPr>
            </w:pPr>
            <w:r w:rsidRPr="004C15F1">
              <w:rPr>
                <w:sz w:val="18"/>
                <w:szCs w:val="18"/>
                <w:lang w:bidi="ar-SA"/>
              </w:rPr>
              <w:t>0.075</w:t>
            </w:r>
            <w:r w:rsidRPr="004C15F1">
              <w:rPr>
                <w:bCs/>
                <w:sz w:val="18"/>
                <w:szCs w:val="18"/>
                <w:vertAlign w:val="superscript"/>
              </w:rPr>
              <w:t>1</w:t>
            </w:r>
          </w:p>
        </w:tc>
        <w:tc>
          <w:tcPr>
            <w:tcW w:w="983" w:type="dxa"/>
          </w:tcPr>
          <w:p w14:paraId="6F4DEA5E" w14:textId="77777777" w:rsidR="002A16F7" w:rsidRPr="00FC5161" w:rsidRDefault="002A16F7" w:rsidP="00770057">
            <w:pPr>
              <w:pStyle w:val="FSTableText"/>
              <w:keepNext/>
              <w:keepLines/>
              <w:jc w:val="center"/>
              <w:rPr>
                <w:sz w:val="18"/>
                <w:szCs w:val="18"/>
                <w:lang w:bidi="ar-SA"/>
              </w:rPr>
            </w:pPr>
            <w:r w:rsidRPr="00FC5161">
              <w:rPr>
                <w:sz w:val="18"/>
                <w:szCs w:val="18"/>
                <w:lang w:bidi="ar-SA"/>
              </w:rPr>
              <w:t>0.17</w:t>
            </w:r>
            <w:r w:rsidRPr="00FC5161">
              <w:rPr>
                <w:bCs/>
                <w:sz w:val="18"/>
                <w:szCs w:val="18"/>
                <w:vertAlign w:val="superscript"/>
              </w:rPr>
              <w:t>2</w:t>
            </w:r>
          </w:p>
        </w:tc>
      </w:tr>
      <w:tr w:rsidR="002A16F7" w:rsidRPr="0049774A" w14:paraId="31E5135F" w14:textId="77777777" w:rsidTr="00AD2928">
        <w:trPr>
          <w:cantSplit/>
        </w:trPr>
        <w:tc>
          <w:tcPr>
            <w:tcW w:w="1357" w:type="dxa"/>
            <w:vMerge/>
          </w:tcPr>
          <w:p w14:paraId="786EEE83" w14:textId="77777777" w:rsidR="002A16F7" w:rsidRPr="00AE724F" w:rsidRDefault="002A16F7" w:rsidP="00770057">
            <w:pPr>
              <w:pStyle w:val="FSTableText"/>
              <w:keepNext/>
              <w:keepLines/>
              <w:rPr>
                <w:sz w:val="18"/>
                <w:szCs w:val="18"/>
                <w:lang w:bidi="ar-SA"/>
              </w:rPr>
            </w:pPr>
          </w:p>
        </w:tc>
        <w:tc>
          <w:tcPr>
            <w:tcW w:w="1473" w:type="dxa"/>
          </w:tcPr>
          <w:p w14:paraId="52C10E6D" w14:textId="77777777" w:rsidR="002A16F7" w:rsidRPr="00AE724F" w:rsidRDefault="002A16F7" w:rsidP="00770057">
            <w:pPr>
              <w:pStyle w:val="FSTableText"/>
              <w:keepNext/>
              <w:keepLines/>
              <w:rPr>
                <w:sz w:val="18"/>
                <w:szCs w:val="18"/>
                <w:lang w:bidi="ar-SA"/>
              </w:rPr>
            </w:pPr>
            <w:r w:rsidRPr="00AE724F">
              <w:rPr>
                <w:sz w:val="18"/>
                <w:szCs w:val="18"/>
                <w:lang w:bidi="ar-SA"/>
              </w:rPr>
              <w:t>Beverages</w:t>
            </w:r>
          </w:p>
        </w:tc>
        <w:tc>
          <w:tcPr>
            <w:tcW w:w="2977" w:type="dxa"/>
          </w:tcPr>
          <w:p w14:paraId="535348BC" w14:textId="1ADA36D1" w:rsidR="002A16F7" w:rsidRPr="00AE724F" w:rsidRDefault="00140066" w:rsidP="00770057">
            <w:pPr>
              <w:pStyle w:val="FSTableText"/>
              <w:keepNext/>
              <w:keepLines/>
              <w:rPr>
                <w:sz w:val="18"/>
                <w:szCs w:val="18"/>
                <w:lang w:bidi="ar-SA"/>
              </w:rPr>
            </w:pPr>
            <w:r w:rsidRPr="00AE724F">
              <w:rPr>
                <w:sz w:val="18"/>
                <w:szCs w:val="18"/>
                <w:lang w:bidi="ar-SA"/>
              </w:rPr>
              <w:t>Fruit juices and juice blends; soft drinks; energy drinks</w:t>
            </w:r>
          </w:p>
        </w:tc>
        <w:tc>
          <w:tcPr>
            <w:tcW w:w="1280" w:type="dxa"/>
          </w:tcPr>
          <w:p w14:paraId="3D1A25AB" w14:textId="77777777" w:rsidR="002A16F7" w:rsidRPr="00AE724F" w:rsidRDefault="002A16F7" w:rsidP="00770057">
            <w:pPr>
              <w:pStyle w:val="FSTableText"/>
              <w:keepNext/>
              <w:keepLines/>
              <w:jc w:val="right"/>
              <w:rPr>
                <w:sz w:val="18"/>
                <w:szCs w:val="18"/>
                <w:lang w:bidi="ar-SA"/>
              </w:rPr>
            </w:pPr>
            <w:r w:rsidRPr="00AE724F">
              <w:rPr>
                <w:sz w:val="18"/>
                <w:szCs w:val="18"/>
                <w:lang w:bidi="ar-SA"/>
              </w:rPr>
              <w:t>5</w:t>
            </w:r>
          </w:p>
        </w:tc>
        <w:tc>
          <w:tcPr>
            <w:tcW w:w="990" w:type="dxa"/>
          </w:tcPr>
          <w:p w14:paraId="2F23F500" w14:textId="77777777" w:rsidR="002A16F7" w:rsidRPr="004C15F1" w:rsidRDefault="002A16F7" w:rsidP="00770057">
            <w:pPr>
              <w:pStyle w:val="FSTableText"/>
              <w:keepNext/>
              <w:keepLines/>
              <w:jc w:val="center"/>
              <w:rPr>
                <w:sz w:val="18"/>
                <w:szCs w:val="18"/>
                <w:lang w:bidi="ar-SA"/>
              </w:rPr>
            </w:pPr>
            <w:r w:rsidRPr="004C15F1">
              <w:rPr>
                <w:sz w:val="18"/>
                <w:szCs w:val="18"/>
                <w:lang w:bidi="ar-SA"/>
              </w:rPr>
              <w:t>0.075</w:t>
            </w:r>
            <w:r w:rsidRPr="004C15F1">
              <w:rPr>
                <w:bCs/>
                <w:sz w:val="18"/>
                <w:szCs w:val="18"/>
                <w:vertAlign w:val="superscript"/>
              </w:rPr>
              <w:t>1</w:t>
            </w:r>
          </w:p>
        </w:tc>
        <w:tc>
          <w:tcPr>
            <w:tcW w:w="983" w:type="dxa"/>
          </w:tcPr>
          <w:p w14:paraId="117ADFB6" w14:textId="77777777" w:rsidR="002A16F7" w:rsidRPr="00FC5161" w:rsidRDefault="002A16F7" w:rsidP="00770057">
            <w:pPr>
              <w:pStyle w:val="FSTableText"/>
              <w:keepNext/>
              <w:keepLines/>
              <w:jc w:val="center"/>
              <w:rPr>
                <w:sz w:val="18"/>
                <w:szCs w:val="18"/>
                <w:lang w:bidi="ar-SA"/>
              </w:rPr>
            </w:pPr>
            <w:r w:rsidRPr="00FC5161">
              <w:rPr>
                <w:sz w:val="18"/>
                <w:szCs w:val="18"/>
                <w:lang w:bidi="ar-SA"/>
              </w:rPr>
              <w:t>0.17</w:t>
            </w:r>
            <w:r w:rsidRPr="00FC5161">
              <w:rPr>
                <w:bCs/>
                <w:sz w:val="18"/>
                <w:szCs w:val="18"/>
                <w:vertAlign w:val="superscript"/>
              </w:rPr>
              <w:t>2</w:t>
            </w:r>
          </w:p>
        </w:tc>
      </w:tr>
      <w:tr w:rsidR="002A16F7" w:rsidRPr="0049774A" w14:paraId="50927055" w14:textId="77777777" w:rsidTr="00AD2928">
        <w:trPr>
          <w:cantSplit/>
        </w:trPr>
        <w:tc>
          <w:tcPr>
            <w:tcW w:w="1357" w:type="dxa"/>
            <w:vMerge/>
          </w:tcPr>
          <w:p w14:paraId="3C24FD93" w14:textId="77777777" w:rsidR="002A16F7" w:rsidRPr="00AE724F" w:rsidRDefault="002A16F7" w:rsidP="00770057">
            <w:pPr>
              <w:pStyle w:val="FSTableText"/>
              <w:keepNext/>
              <w:keepLines/>
              <w:rPr>
                <w:sz w:val="18"/>
                <w:szCs w:val="18"/>
                <w:lang w:bidi="ar-SA"/>
              </w:rPr>
            </w:pPr>
          </w:p>
        </w:tc>
        <w:tc>
          <w:tcPr>
            <w:tcW w:w="1473" w:type="dxa"/>
          </w:tcPr>
          <w:p w14:paraId="7220D6FA" w14:textId="77777777" w:rsidR="002A16F7" w:rsidRPr="00AE724F" w:rsidRDefault="002A16F7" w:rsidP="00770057">
            <w:pPr>
              <w:pStyle w:val="FSTableText"/>
              <w:keepNext/>
              <w:keepLines/>
              <w:rPr>
                <w:sz w:val="18"/>
                <w:szCs w:val="18"/>
                <w:lang w:bidi="ar-SA"/>
              </w:rPr>
            </w:pPr>
            <w:r w:rsidRPr="00AE724F">
              <w:rPr>
                <w:sz w:val="18"/>
                <w:szCs w:val="18"/>
                <w:lang w:bidi="ar-SA"/>
              </w:rPr>
              <w:t>Dairy products</w:t>
            </w:r>
          </w:p>
        </w:tc>
        <w:tc>
          <w:tcPr>
            <w:tcW w:w="2977" w:type="dxa"/>
          </w:tcPr>
          <w:p w14:paraId="70E42835" w14:textId="1C57A6F9" w:rsidR="002A16F7" w:rsidRPr="00AE724F" w:rsidRDefault="00140066" w:rsidP="00770057">
            <w:pPr>
              <w:pStyle w:val="FSTableText"/>
              <w:keepNext/>
              <w:keepLines/>
              <w:rPr>
                <w:sz w:val="18"/>
                <w:szCs w:val="18"/>
                <w:lang w:bidi="ar-SA"/>
              </w:rPr>
            </w:pPr>
            <w:r w:rsidRPr="00AE724F">
              <w:rPr>
                <w:sz w:val="18"/>
                <w:szCs w:val="18"/>
                <w:lang w:bidi="ar-SA"/>
              </w:rPr>
              <w:t>Yogurt; cheese and cheese products; desserts and dessert toppings; ice pops and sorbets, jellies</w:t>
            </w:r>
          </w:p>
        </w:tc>
        <w:tc>
          <w:tcPr>
            <w:tcW w:w="1280" w:type="dxa"/>
          </w:tcPr>
          <w:p w14:paraId="7BE76EF7" w14:textId="77777777" w:rsidR="002A16F7" w:rsidRPr="00AE724F" w:rsidRDefault="002A16F7" w:rsidP="00770057">
            <w:pPr>
              <w:pStyle w:val="FSTableText"/>
              <w:keepNext/>
              <w:keepLines/>
              <w:jc w:val="right"/>
              <w:rPr>
                <w:sz w:val="18"/>
                <w:szCs w:val="18"/>
                <w:lang w:bidi="ar-SA"/>
              </w:rPr>
            </w:pPr>
            <w:r w:rsidRPr="00AE724F">
              <w:rPr>
                <w:sz w:val="18"/>
                <w:szCs w:val="18"/>
                <w:lang w:bidi="ar-SA"/>
              </w:rPr>
              <w:t>5</w:t>
            </w:r>
          </w:p>
        </w:tc>
        <w:tc>
          <w:tcPr>
            <w:tcW w:w="990" w:type="dxa"/>
          </w:tcPr>
          <w:p w14:paraId="7898E15A" w14:textId="77777777" w:rsidR="002A16F7" w:rsidRPr="004C15F1" w:rsidRDefault="002A16F7" w:rsidP="00770057">
            <w:pPr>
              <w:pStyle w:val="FSTableText"/>
              <w:keepNext/>
              <w:keepLines/>
              <w:jc w:val="center"/>
              <w:rPr>
                <w:sz w:val="18"/>
                <w:szCs w:val="18"/>
                <w:lang w:bidi="ar-SA"/>
              </w:rPr>
            </w:pPr>
            <w:r w:rsidRPr="004C15F1">
              <w:rPr>
                <w:sz w:val="18"/>
                <w:szCs w:val="18"/>
                <w:lang w:bidi="ar-SA"/>
              </w:rPr>
              <w:t>0.075</w:t>
            </w:r>
            <w:r w:rsidRPr="004C15F1">
              <w:rPr>
                <w:bCs/>
                <w:sz w:val="18"/>
                <w:szCs w:val="18"/>
                <w:vertAlign w:val="superscript"/>
              </w:rPr>
              <w:t>1</w:t>
            </w:r>
          </w:p>
        </w:tc>
        <w:tc>
          <w:tcPr>
            <w:tcW w:w="983" w:type="dxa"/>
          </w:tcPr>
          <w:p w14:paraId="1C0A41FE" w14:textId="77777777" w:rsidR="002A16F7" w:rsidRPr="00FC5161" w:rsidRDefault="002A16F7" w:rsidP="00770057">
            <w:pPr>
              <w:pStyle w:val="FSTableText"/>
              <w:keepNext/>
              <w:keepLines/>
              <w:jc w:val="center"/>
              <w:rPr>
                <w:sz w:val="18"/>
                <w:szCs w:val="18"/>
                <w:lang w:bidi="ar-SA"/>
              </w:rPr>
            </w:pPr>
            <w:r w:rsidRPr="00FC5161">
              <w:rPr>
                <w:sz w:val="18"/>
                <w:szCs w:val="18"/>
                <w:lang w:bidi="ar-SA"/>
              </w:rPr>
              <w:t>0.17</w:t>
            </w:r>
            <w:r w:rsidRPr="00FC5161">
              <w:rPr>
                <w:bCs/>
                <w:sz w:val="18"/>
                <w:szCs w:val="18"/>
                <w:vertAlign w:val="superscript"/>
              </w:rPr>
              <w:t>2</w:t>
            </w:r>
          </w:p>
        </w:tc>
      </w:tr>
      <w:tr w:rsidR="002A16F7" w:rsidRPr="0049774A" w14:paraId="49F6531F" w14:textId="77777777" w:rsidTr="00AD2928">
        <w:trPr>
          <w:cantSplit/>
        </w:trPr>
        <w:tc>
          <w:tcPr>
            <w:tcW w:w="1357" w:type="dxa"/>
            <w:vMerge/>
          </w:tcPr>
          <w:p w14:paraId="1CEC5C86" w14:textId="77777777" w:rsidR="002A16F7" w:rsidRPr="00AE724F" w:rsidRDefault="002A16F7" w:rsidP="00770057">
            <w:pPr>
              <w:pStyle w:val="FSTableText"/>
              <w:keepNext/>
              <w:keepLines/>
              <w:rPr>
                <w:sz w:val="18"/>
                <w:szCs w:val="18"/>
                <w:lang w:bidi="ar-SA"/>
              </w:rPr>
            </w:pPr>
          </w:p>
        </w:tc>
        <w:tc>
          <w:tcPr>
            <w:tcW w:w="1473" w:type="dxa"/>
          </w:tcPr>
          <w:p w14:paraId="32A64CE2" w14:textId="5A5395C1" w:rsidR="002A16F7" w:rsidRPr="00AE724F" w:rsidRDefault="000C0D96" w:rsidP="00770057">
            <w:pPr>
              <w:pStyle w:val="FSTableText"/>
              <w:keepNext/>
              <w:keepLines/>
              <w:rPr>
                <w:sz w:val="18"/>
                <w:szCs w:val="18"/>
                <w:lang w:bidi="ar-SA"/>
              </w:rPr>
            </w:pPr>
            <w:r>
              <w:rPr>
                <w:sz w:val="18"/>
                <w:szCs w:val="18"/>
                <w:lang w:bidi="ar-SA"/>
              </w:rPr>
              <w:t>Mixed foods</w:t>
            </w:r>
          </w:p>
        </w:tc>
        <w:tc>
          <w:tcPr>
            <w:tcW w:w="2977" w:type="dxa"/>
          </w:tcPr>
          <w:p w14:paraId="27718833" w14:textId="6089115C" w:rsidR="002A16F7" w:rsidRPr="00AD2928" w:rsidRDefault="002A16F7" w:rsidP="00AD2928">
            <w:pPr>
              <w:keepNext/>
              <w:keepLines/>
              <w:autoSpaceDE w:val="0"/>
              <w:autoSpaceDN w:val="0"/>
              <w:adjustRightInd w:val="0"/>
              <w:rPr>
                <w:rFonts w:cs="Arial"/>
                <w:sz w:val="18"/>
                <w:szCs w:val="18"/>
              </w:rPr>
            </w:pPr>
            <w:r w:rsidRPr="00AE724F">
              <w:rPr>
                <w:rFonts w:cs="Arial"/>
                <w:sz w:val="18"/>
                <w:szCs w:val="18"/>
              </w:rPr>
              <w:t>Prepared food such as ready-to-eat meals, soups, and</w:t>
            </w:r>
            <w:r w:rsidR="00AD2928">
              <w:rPr>
                <w:rFonts w:cs="Arial"/>
                <w:sz w:val="18"/>
                <w:szCs w:val="18"/>
              </w:rPr>
              <w:t xml:space="preserve"> </w:t>
            </w:r>
            <w:r w:rsidRPr="00AE724F">
              <w:rPr>
                <w:sz w:val="18"/>
                <w:szCs w:val="18"/>
              </w:rPr>
              <w:t xml:space="preserve">pasta; </w:t>
            </w:r>
            <w:r w:rsidR="001B4CC8" w:rsidRPr="00AE724F">
              <w:rPr>
                <w:sz w:val="18"/>
                <w:szCs w:val="18"/>
              </w:rPr>
              <w:t xml:space="preserve">and, </w:t>
            </w:r>
            <w:r w:rsidRPr="00AE724F">
              <w:rPr>
                <w:sz w:val="18"/>
                <w:szCs w:val="18"/>
              </w:rPr>
              <w:t>snacks</w:t>
            </w:r>
            <w:r w:rsidR="00140066" w:rsidRPr="00AE724F">
              <w:rPr>
                <w:sz w:val="18"/>
                <w:szCs w:val="18"/>
              </w:rPr>
              <w:t xml:space="preserve"> </w:t>
            </w:r>
            <w:r w:rsidR="00140066" w:rsidRPr="00AE724F">
              <w:rPr>
                <w:sz w:val="18"/>
                <w:szCs w:val="18"/>
                <w:lang w:bidi="ar-SA"/>
              </w:rPr>
              <w:t>(e.g. extruded)</w:t>
            </w:r>
          </w:p>
        </w:tc>
        <w:tc>
          <w:tcPr>
            <w:tcW w:w="1280" w:type="dxa"/>
          </w:tcPr>
          <w:p w14:paraId="4982E34B" w14:textId="0798C379" w:rsidR="002A16F7" w:rsidRPr="00AE724F" w:rsidRDefault="00EF7FA2" w:rsidP="00770057">
            <w:pPr>
              <w:pStyle w:val="FSTableText"/>
              <w:keepNext/>
              <w:keepLines/>
              <w:jc w:val="right"/>
              <w:rPr>
                <w:sz w:val="18"/>
                <w:szCs w:val="18"/>
                <w:lang w:bidi="ar-SA"/>
              </w:rPr>
            </w:pPr>
            <w:r>
              <w:rPr>
                <w:sz w:val="18"/>
                <w:szCs w:val="18"/>
                <w:lang w:bidi="ar-SA"/>
              </w:rPr>
              <w:t>5</w:t>
            </w:r>
            <w:r w:rsidR="00367C41">
              <w:rPr>
                <w:sz w:val="18"/>
                <w:szCs w:val="18"/>
                <w:vertAlign w:val="superscript"/>
              </w:rPr>
              <w:t>5</w:t>
            </w:r>
          </w:p>
        </w:tc>
        <w:tc>
          <w:tcPr>
            <w:tcW w:w="990" w:type="dxa"/>
          </w:tcPr>
          <w:p w14:paraId="3D569B20" w14:textId="53FE4589" w:rsidR="002A16F7" w:rsidRPr="00FC5161" w:rsidRDefault="002A16F7" w:rsidP="00367C41">
            <w:pPr>
              <w:pStyle w:val="FSTableText"/>
              <w:keepNext/>
              <w:keepLines/>
              <w:jc w:val="center"/>
              <w:rPr>
                <w:sz w:val="18"/>
                <w:szCs w:val="18"/>
                <w:lang w:bidi="ar-SA"/>
              </w:rPr>
            </w:pPr>
            <w:r w:rsidRPr="00FC5161">
              <w:rPr>
                <w:sz w:val="18"/>
                <w:szCs w:val="18"/>
                <w:lang w:bidi="ar-SA"/>
              </w:rPr>
              <w:t>0.</w:t>
            </w:r>
            <w:r w:rsidR="00FC5161" w:rsidRPr="00FC5161">
              <w:rPr>
                <w:sz w:val="18"/>
                <w:szCs w:val="18"/>
                <w:lang w:bidi="ar-SA"/>
              </w:rPr>
              <w:t>07</w:t>
            </w:r>
            <w:r w:rsidRPr="00FC5161">
              <w:rPr>
                <w:sz w:val="18"/>
                <w:szCs w:val="18"/>
                <w:lang w:bidi="ar-SA"/>
              </w:rPr>
              <w:t>5</w:t>
            </w:r>
            <w:r w:rsidRPr="00FC5161">
              <w:rPr>
                <w:bCs/>
                <w:sz w:val="18"/>
                <w:szCs w:val="18"/>
                <w:vertAlign w:val="superscript"/>
              </w:rPr>
              <w:t>1</w:t>
            </w:r>
            <w:r w:rsidR="00367C41">
              <w:rPr>
                <w:bCs/>
                <w:sz w:val="18"/>
                <w:szCs w:val="18"/>
                <w:vertAlign w:val="superscript"/>
              </w:rPr>
              <w:t>,</w:t>
            </w:r>
            <w:r w:rsidR="00367C41">
              <w:rPr>
                <w:sz w:val="18"/>
                <w:szCs w:val="18"/>
                <w:vertAlign w:val="superscript"/>
              </w:rPr>
              <w:t>5</w:t>
            </w:r>
          </w:p>
        </w:tc>
        <w:tc>
          <w:tcPr>
            <w:tcW w:w="983" w:type="dxa"/>
          </w:tcPr>
          <w:p w14:paraId="3E89DD29" w14:textId="51907947" w:rsidR="002A16F7" w:rsidRPr="00FC5161" w:rsidRDefault="002A16F7" w:rsidP="00FC5161">
            <w:pPr>
              <w:pStyle w:val="FSTableText"/>
              <w:keepNext/>
              <w:keepLines/>
              <w:jc w:val="center"/>
              <w:rPr>
                <w:sz w:val="18"/>
                <w:szCs w:val="18"/>
                <w:lang w:bidi="ar-SA"/>
              </w:rPr>
            </w:pPr>
            <w:r w:rsidRPr="00FC5161">
              <w:rPr>
                <w:sz w:val="18"/>
                <w:szCs w:val="18"/>
                <w:lang w:bidi="ar-SA"/>
              </w:rPr>
              <w:t>0.</w:t>
            </w:r>
            <w:r w:rsidR="00FC5161" w:rsidRPr="00FC5161">
              <w:rPr>
                <w:sz w:val="18"/>
                <w:szCs w:val="18"/>
                <w:lang w:bidi="ar-SA"/>
              </w:rPr>
              <w:t>17</w:t>
            </w:r>
            <w:r w:rsidRPr="00FC5161">
              <w:rPr>
                <w:bCs/>
                <w:sz w:val="18"/>
                <w:szCs w:val="18"/>
                <w:vertAlign w:val="superscript"/>
              </w:rPr>
              <w:t>2</w:t>
            </w:r>
            <w:r w:rsidR="00367C41">
              <w:rPr>
                <w:bCs/>
                <w:sz w:val="18"/>
                <w:szCs w:val="18"/>
                <w:vertAlign w:val="superscript"/>
              </w:rPr>
              <w:t>,</w:t>
            </w:r>
            <w:r w:rsidR="00367C41">
              <w:rPr>
                <w:sz w:val="18"/>
                <w:szCs w:val="18"/>
                <w:vertAlign w:val="superscript"/>
              </w:rPr>
              <w:t>5</w:t>
            </w:r>
          </w:p>
        </w:tc>
      </w:tr>
      <w:tr w:rsidR="002A16F7" w:rsidRPr="0049774A" w14:paraId="769B7FE1" w14:textId="77777777" w:rsidTr="00AD2928">
        <w:trPr>
          <w:cantSplit/>
        </w:trPr>
        <w:tc>
          <w:tcPr>
            <w:tcW w:w="1357" w:type="dxa"/>
            <w:vMerge/>
          </w:tcPr>
          <w:p w14:paraId="09DFB551" w14:textId="77777777" w:rsidR="002A16F7" w:rsidRPr="00AE724F" w:rsidRDefault="002A16F7" w:rsidP="00770057">
            <w:pPr>
              <w:pStyle w:val="FSTableText"/>
              <w:keepNext/>
              <w:keepLines/>
              <w:rPr>
                <w:sz w:val="18"/>
                <w:szCs w:val="18"/>
                <w:lang w:bidi="ar-SA"/>
              </w:rPr>
            </w:pPr>
          </w:p>
        </w:tc>
        <w:tc>
          <w:tcPr>
            <w:tcW w:w="1473" w:type="dxa"/>
          </w:tcPr>
          <w:p w14:paraId="663B8ADD" w14:textId="5B320FB9" w:rsidR="002A16F7" w:rsidRPr="00AE724F" w:rsidRDefault="000C0D96" w:rsidP="00770057">
            <w:pPr>
              <w:pStyle w:val="FSTableText"/>
              <w:keepNext/>
              <w:keepLines/>
              <w:rPr>
                <w:sz w:val="18"/>
                <w:szCs w:val="18"/>
                <w:lang w:bidi="ar-SA"/>
              </w:rPr>
            </w:pPr>
            <w:r>
              <w:rPr>
                <w:sz w:val="18"/>
                <w:szCs w:val="18"/>
                <w:lang w:bidi="ar-SA"/>
              </w:rPr>
              <w:t>Meat analogues</w:t>
            </w:r>
          </w:p>
        </w:tc>
        <w:tc>
          <w:tcPr>
            <w:tcW w:w="2977" w:type="dxa"/>
          </w:tcPr>
          <w:p w14:paraId="154B2118" w14:textId="77777777" w:rsidR="002A16F7" w:rsidRPr="00AE724F" w:rsidRDefault="002A16F7" w:rsidP="00770057">
            <w:pPr>
              <w:pStyle w:val="FSTableText"/>
              <w:keepNext/>
              <w:keepLines/>
              <w:rPr>
                <w:sz w:val="18"/>
                <w:szCs w:val="18"/>
                <w:lang w:bidi="ar-SA"/>
              </w:rPr>
            </w:pPr>
            <w:r w:rsidRPr="00AE724F">
              <w:rPr>
                <w:sz w:val="18"/>
                <w:szCs w:val="18"/>
              </w:rPr>
              <w:t>Meat analogues</w:t>
            </w:r>
          </w:p>
        </w:tc>
        <w:tc>
          <w:tcPr>
            <w:tcW w:w="1280" w:type="dxa"/>
          </w:tcPr>
          <w:p w14:paraId="7E416344" w14:textId="12F52357" w:rsidR="002A16F7" w:rsidRPr="00AE724F" w:rsidRDefault="007C7B57" w:rsidP="007C7B57">
            <w:pPr>
              <w:pStyle w:val="FSTableText"/>
              <w:keepNext/>
              <w:keepLines/>
              <w:jc w:val="right"/>
              <w:rPr>
                <w:sz w:val="18"/>
                <w:szCs w:val="18"/>
                <w:lang w:bidi="ar-SA"/>
              </w:rPr>
            </w:pPr>
            <w:r>
              <w:rPr>
                <w:sz w:val="18"/>
                <w:szCs w:val="18"/>
                <w:lang w:bidi="ar-SA"/>
              </w:rPr>
              <w:t>5</w:t>
            </w:r>
            <w:r w:rsidR="00367C41">
              <w:rPr>
                <w:sz w:val="18"/>
                <w:szCs w:val="18"/>
                <w:vertAlign w:val="superscript"/>
              </w:rPr>
              <w:t>5</w:t>
            </w:r>
          </w:p>
        </w:tc>
        <w:tc>
          <w:tcPr>
            <w:tcW w:w="990" w:type="dxa"/>
          </w:tcPr>
          <w:p w14:paraId="2D8A27D5" w14:textId="0F440181" w:rsidR="002A16F7" w:rsidRPr="00097D2A" w:rsidRDefault="002A16F7" w:rsidP="00367C41">
            <w:pPr>
              <w:pStyle w:val="FSTableText"/>
              <w:keepNext/>
              <w:keepLines/>
              <w:jc w:val="center"/>
              <w:rPr>
                <w:sz w:val="18"/>
                <w:szCs w:val="18"/>
                <w:lang w:bidi="ar-SA"/>
              </w:rPr>
            </w:pPr>
            <w:r w:rsidRPr="00097D2A">
              <w:rPr>
                <w:sz w:val="18"/>
                <w:szCs w:val="18"/>
                <w:lang w:bidi="ar-SA"/>
              </w:rPr>
              <w:t>0.</w:t>
            </w:r>
            <w:r w:rsidR="00097D2A" w:rsidRPr="00097D2A">
              <w:rPr>
                <w:sz w:val="18"/>
                <w:szCs w:val="18"/>
                <w:lang w:bidi="ar-SA"/>
              </w:rPr>
              <w:t>07</w:t>
            </w:r>
            <w:r w:rsidRPr="00097D2A">
              <w:rPr>
                <w:sz w:val="18"/>
                <w:szCs w:val="18"/>
                <w:lang w:bidi="ar-SA"/>
              </w:rPr>
              <w:t>5</w:t>
            </w:r>
            <w:r w:rsidRPr="00097D2A">
              <w:rPr>
                <w:bCs/>
                <w:sz w:val="18"/>
                <w:szCs w:val="18"/>
                <w:vertAlign w:val="superscript"/>
              </w:rPr>
              <w:t>1</w:t>
            </w:r>
            <w:r w:rsidR="00367C41">
              <w:rPr>
                <w:bCs/>
                <w:sz w:val="18"/>
                <w:szCs w:val="18"/>
                <w:vertAlign w:val="superscript"/>
              </w:rPr>
              <w:t>,</w:t>
            </w:r>
            <w:r w:rsidR="00367C41">
              <w:rPr>
                <w:sz w:val="18"/>
                <w:szCs w:val="18"/>
                <w:vertAlign w:val="superscript"/>
              </w:rPr>
              <w:t>5</w:t>
            </w:r>
          </w:p>
        </w:tc>
        <w:tc>
          <w:tcPr>
            <w:tcW w:w="983" w:type="dxa"/>
          </w:tcPr>
          <w:p w14:paraId="2826E13C" w14:textId="428772EE" w:rsidR="002A16F7" w:rsidRPr="00097D2A" w:rsidRDefault="00097D2A" w:rsidP="00097D2A">
            <w:pPr>
              <w:pStyle w:val="FSTableText"/>
              <w:keepNext/>
              <w:keepLines/>
              <w:jc w:val="center"/>
              <w:rPr>
                <w:sz w:val="18"/>
                <w:szCs w:val="18"/>
                <w:lang w:bidi="ar-SA"/>
              </w:rPr>
            </w:pPr>
            <w:r w:rsidRPr="00097D2A">
              <w:rPr>
                <w:sz w:val="18"/>
                <w:szCs w:val="18"/>
                <w:lang w:bidi="ar-SA"/>
              </w:rPr>
              <w:t>0</w:t>
            </w:r>
            <w:r w:rsidR="002A16F7" w:rsidRPr="00097D2A">
              <w:rPr>
                <w:sz w:val="18"/>
                <w:szCs w:val="18"/>
                <w:lang w:bidi="ar-SA"/>
              </w:rPr>
              <w:t>.</w:t>
            </w:r>
            <w:r w:rsidRPr="00097D2A">
              <w:rPr>
                <w:sz w:val="18"/>
                <w:szCs w:val="18"/>
                <w:lang w:bidi="ar-SA"/>
              </w:rPr>
              <w:t>17</w:t>
            </w:r>
            <w:r w:rsidR="002A16F7" w:rsidRPr="00097D2A">
              <w:rPr>
                <w:bCs/>
                <w:sz w:val="18"/>
                <w:szCs w:val="18"/>
                <w:vertAlign w:val="superscript"/>
              </w:rPr>
              <w:t>2</w:t>
            </w:r>
            <w:r w:rsidR="00367C41">
              <w:rPr>
                <w:bCs/>
                <w:sz w:val="18"/>
                <w:szCs w:val="18"/>
                <w:vertAlign w:val="superscript"/>
              </w:rPr>
              <w:t>,</w:t>
            </w:r>
            <w:r w:rsidR="00367C41">
              <w:rPr>
                <w:sz w:val="18"/>
                <w:szCs w:val="18"/>
                <w:vertAlign w:val="superscript"/>
              </w:rPr>
              <w:t>5</w:t>
            </w:r>
          </w:p>
        </w:tc>
      </w:tr>
      <w:tr w:rsidR="002A16F7" w:rsidRPr="0049774A" w14:paraId="3014CBE1" w14:textId="77777777" w:rsidTr="00AD2928">
        <w:trPr>
          <w:cantSplit/>
        </w:trPr>
        <w:tc>
          <w:tcPr>
            <w:tcW w:w="1357" w:type="dxa"/>
            <w:vMerge/>
          </w:tcPr>
          <w:p w14:paraId="4685C6B6" w14:textId="77777777" w:rsidR="002A16F7" w:rsidRPr="00AE724F" w:rsidRDefault="002A16F7" w:rsidP="00770057">
            <w:pPr>
              <w:pStyle w:val="FSTableText"/>
              <w:keepNext/>
              <w:keepLines/>
              <w:rPr>
                <w:sz w:val="18"/>
                <w:szCs w:val="18"/>
                <w:lang w:bidi="ar-SA"/>
              </w:rPr>
            </w:pPr>
          </w:p>
        </w:tc>
        <w:tc>
          <w:tcPr>
            <w:tcW w:w="1473" w:type="dxa"/>
          </w:tcPr>
          <w:p w14:paraId="15250438" w14:textId="3F19CBC5" w:rsidR="002A16F7" w:rsidRPr="00AE724F" w:rsidRDefault="000C0D96" w:rsidP="00770057">
            <w:pPr>
              <w:pStyle w:val="FSTableText"/>
              <w:keepNext/>
              <w:keepLines/>
              <w:rPr>
                <w:sz w:val="18"/>
                <w:szCs w:val="18"/>
                <w:lang w:bidi="ar-SA"/>
              </w:rPr>
            </w:pPr>
            <w:r>
              <w:rPr>
                <w:sz w:val="18"/>
                <w:szCs w:val="18"/>
                <w:lang w:bidi="ar-SA"/>
              </w:rPr>
              <w:t>Protein based products</w:t>
            </w:r>
          </w:p>
        </w:tc>
        <w:tc>
          <w:tcPr>
            <w:tcW w:w="2977" w:type="dxa"/>
          </w:tcPr>
          <w:p w14:paraId="481F927D" w14:textId="77777777" w:rsidR="002A16F7" w:rsidRPr="00AE724F" w:rsidRDefault="002A16F7" w:rsidP="00770057">
            <w:pPr>
              <w:keepNext/>
              <w:keepLines/>
              <w:autoSpaceDE w:val="0"/>
              <w:autoSpaceDN w:val="0"/>
              <w:adjustRightInd w:val="0"/>
              <w:rPr>
                <w:rFonts w:cs="Arial"/>
                <w:sz w:val="18"/>
                <w:szCs w:val="18"/>
              </w:rPr>
            </w:pPr>
            <w:r w:rsidRPr="00AE724F">
              <w:rPr>
                <w:rFonts w:cs="Arial"/>
                <w:sz w:val="18"/>
                <w:szCs w:val="18"/>
              </w:rPr>
              <w:t>Protein-enriched, bars, and pasta; protein-enriched</w:t>
            </w:r>
          </w:p>
          <w:p w14:paraId="7E439D73" w14:textId="77777777" w:rsidR="002A16F7" w:rsidRPr="00AE724F" w:rsidRDefault="002A16F7" w:rsidP="00770057">
            <w:pPr>
              <w:pStyle w:val="FSTableText"/>
              <w:keepNext/>
              <w:keepLines/>
              <w:rPr>
                <w:sz w:val="18"/>
                <w:szCs w:val="18"/>
                <w:lang w:bidi="ar-SA"/>
              </w:rPr>
            </w:pPr>
            <w:r w:rsidRPr="00AE724F">
              <w:rPr>
                <w:sz w:val="18"/>
                <w:szCs w:val="18"/>
              </w:rPr>
              <w:t>powder and ready-to-drink beverages; energy bars</w:t>
            </w:r>
          </w:p>
        </w:tc>
        <w:tc>
          <w:tcPr>
            <w:tcW w:w="1280" w:type="dxa"/>
          </w:tcPr>
          <w:p w14:paraId="02FC2F08" w14:textId="3750769D" w:rsidR="002A16F7" w:rsidRPr="00AE724F" w:rsidRDefault="00EF7FA2" w:rsidP="00770057">
            <w:pPr>
              <w:pStyle w:val="FSTableText"/>
              <w:keepNext/>
              <w:keepLines/>
              <w:jc w:val="right"/>
              <w:rPr>
                <w:sz w:val="18"/>
                <w:szCs w:val="18"/>
                <w:lang w:bidi="ar-SA"/>
              </w:rPr>
            </w:pPr>
            <w:r>
              <w:rPr>
                <w:sz w:val="18"/>
                <w:szCs w:val="18"/>
                <w:lang w:bidi="ar-SA"/>
              </w:rPr>
              <w:t>10</w:t>
            </w:r>
            <w:r w:rsidR="00367C41">
              <w:rPr>
                <w:sz w:val="18"/>
                <w:szCs w:val="18"/>
                <w:vertAlign w:val="superscript"/>
              </w:rPr>
              <w:t>5</w:t>
            </w:r>
          </w:p>
        </w:tc>
        <w:tc>
          <w:tcPr>
            <w:tcW w:w="990" w:type="dxa"/>
          </w:tcPr>
          <w:p w14:paraId="1FA4E8E6" w14:textId="79FF0B36" w:rsidR="002A16F7" w:rsidRPr="00FC5161" w:rsidRDefault="002A16F7" w:rsidP="00770057">
            <w:pPr>
              <w:pStyle w:val="FSTableText"/>
              <w:keepNext/>
              <w:keepLines/>
              <w:jc w:val="center"/>
              <w:rPr>
                <w:sz w:val="18"/>
                <w:szCs w:val="18"/>
                <w:lang w:bidi="ar-SA"/>
              </w:rPr>
            </w:pPr>
            <w:r w:rsidRPr="00FC5161">
              <w:rPr>
                <w:sz w:val="18"/>
                <w:szCs w:val="18"/>
                <w:lang w:bidi="ar-SA"/>
              </w:rPr>
              <w:t>0.</w:t>
            </w:r>
            <w:r w:rsidR="00FC5161" w:rsidRPr="00FC5161">
              <w:rPr>
                <w:sz w:val="18"/>
                <w:szCs w:val="18"/>
                <w:lang w:bidi="ar-SA"/>
              </w:rPr>
              <w:t>1</w:t>
            </w:r>
            <w:r w:rsidRPr="00FC5161">
              <w:rPr>
                <w:sz w:val="18"/>
                <w:szCs w:val="18"/>
                <w:lang w:bidi="ar-SA"/>
              </w:rPr>
              <w:t>5</w:t>
            </w:r>
            <w:r w:rsidRPr="00FC5161">
              <w:rPr>
                <w:bCs/>
                <w:sz w:val="18"/>
                <w:szCs w:val="18"/>
                <w:vertAlign w:val="superscript"/>
              </w:rPr>
              <w:t>1</w:t>
            </w:r>
            <w:r w:rsidR="00367C41">
              <w:rPr>
                <w:bCs/>
                <w:sz w:val="18"/>
                <w:szCs w:val="18"/>
                <w:vertAlign w:val="superscript"/>
              </w:rPr>
              <w:t>,</w:t>
            </w:r>
            <w:r w:rsidR="00367C41">
              <w:rPr>
                <w:sz w:val="18"/>
                <w:szCs w:val="18"/>
                <w:vertAlign w:val="superscript"/>
              </w:rPr>
              <w:t>5</w:t>
            </w:r>
          </w:p>
        </w:tc>
        <w:tc>
          <w:tcPr>
            <w:tcW w:w="983" w:type="dxa"/>
          </w:tcPr>
          <w:p w14:paraId="148792BB" w14:textId="66A5D705" w:rsidR="002A16F7" w:rsidRPr="00FC5161" w:rsidRDefault="00FC5161" w:rsidP="00367C41">
            <w:pPr>
              <w:pStyle w:val="FSTableText"/>
              <w:keepNext/>
              <w:keepLines/>
              <w:jc w:val="center"/>
              <w:rPr>
                <w:sz w:val="18"/>
                <w:szCs w:val="18"/>
                <w:lang w:bidi="ar-SA"/>
              </w:rPr>
            </w:pPr>
            <w:r w:rsidRPr="00FC5161">
              <w:rPr>
                <w:sz w:val="18"/>
                <w:szCs w:val="18"/>
                <w:lang w:bidi="ar-SA"/>
              </w:rPr>
              <w:t>0</w:t>
            </w:r>
            <w:r w:rsidR="002A16F7" w:rsidRPr="00FC5161">
              <w:rPr>
                <w:sz w:val="18"/>
                <w:szCs w:val="18"/>
                <w:lang w:bidi="ar-SA"/>
              </w:rPr>
              <w:t>.</w:t>
            </w:r>
            <w:r w:rsidRPr="00FC5161">
              <w:rPr>
                <w:sz w:val="18"/>
                <w:szCs w:val="18"/>
                <w:lang w:bidi="ar-SA"/>
              </w:rPr>
              <w:t>33</w:t>
            </w:r>
            <w:r w:rsidR="002A16F7" w:rsidRPr="00FC5161">
              <w:rPr>
                <w:bCs/>
                <w:sz w:val="18"/>
                <w:szCs w:val="18"/>
                <w:vertAlign w:val="superscript"/>
              </w:rPr>
              <w:t>2</w:t>
            </w:r>
            <w:r w:rsidR="00367C41">
              <w:rPr>
                <w:bCs/>
                <w:sz w:val="18"/>
                <w:szCs w:val="18"/>
                <w:vertAlign w:val="superscript"/>
              </w:rPr>
              <w:t>,</w:t>
            </w:r>
            <w:r w:rsidR="00367C41">
              <w:rPr>
                <w:sz w:val="18"/>
                <w:szCs w:val="18"/>
                <w:vertAlign w:val="superscript"/>
              </w:rPr>
              <w:t>5</w:t>
            </w:r>
          </w:p>
        </w:tc>
      </w:tr>
      <w:tr w:rsidR="002A16F7" w:rsidRPr="0049774A" w14:paraId="309E88B7" w14:textId="77777777" w:rsidTr="00AD2928">
        <w:trPr>
          <w:cantSplit/>
        </w:trPr>
        <w:tc>
          <w:tcPr>
            <w:tcW w:w="1357" w:type="dxa"/>
          </w:tcPr>
          <w:p w14:paraId="28DE3634" w14:textId="77777777" w:rsidR="002A16F7" w:rsidRPr="00AE724F" w:rsidRDefault="002A16F7" w:rsidP="00770057">
            <w:pPr>
              <w:pStyle w:val="FSTableText"/>
              <w:keepNext/>
              <w:keepLines/>
              <w:rPr>
                <w:sz w:val="18"/>
                <w:szCs w:val="18"/>
                <w:lang w:bidi="ar-SA"/>
              </w:rPr>
            </w:pPr>
            <w:r w:rsidRPr="00AE724F">
              <w:rPr>
                <w:sz w:val="18"/>
                <w:szCs w:val="18"/>
                <w:lang w:bidi="ar-SA"/>
              </w:rPr>
              <w:t xml:space="preserve">Macfarlane </w:t>
            </w:r>
            <w:r w:rsidR="0071622F" w:rsidRPr="0071622F">
              <w:rPr>
                <w:sz w:val="18"/>
                <w:szCs w:val="18"/>
                <w:lang w:bidi="ar-SA"/>
              </w:rPr>
              <w:t>et al.</w:t>
            </w:r>
            <w:r w:rsidRPr="00AE724F">
              <w:rPr>
                <w:sz w:val="18"/>
                <w:szCs w:val="18"/>
                <w:lang w:bidi="ar-SA"/>
              </w:rPr>
              <w:t xml:space="preserve"> (1988)</w:t>
            </w:r>
          </w:p>
        </w:tc>
        <w:tc>
          <w:tcPr>
            <w:tcW w:w="1473" w:type="dxa"/>
          </w:tcPr>
          <w:p w14:paraId="6FD23CF5" w14:textId="77777777" w:rsidR="002A16F7" w:rsidRPr="00AE724F" w:rsidRDefault="002A16F7" w:rsidP="00770057">
            <w:pPr>
              <w:pStyle w:val="FSTableText"/>
              <w:keepNext/>
              <w:keepLines/>
              <w:rPr>
                <w:sz w:val="18"/>
                <w:szCs w:val="18"/>
                <w:lang w:bidi="ar-SA"/>
              </w:rPr>
            </w:pPr>
            <w:r w:rsidRPr="00AE724F">
              <w:rPr>
                <w:sz w:val="18"/>
                <w:szCs w:val="18"/>
                <w:lang w:bidi="ar-SA"/>
              </w:rPr>
              <w:t>Nuts</w:t>
            </w:r>
          </w:p>
        </w:tc>
        <w:tc>
          <w:tcPr>
            <w:tcW w:w="2977" w:type="dxa"/>
          </w:tcPr>
          <w:p w14:paraId="6F797B90" w14:textId="77777777" w:rsidR="002A16F7" w:rsidRPr="00AE724F" w:rsidRDefault="002A16F7" w:rsidP="00770057">
            <w:pPr>
              <w:pStyle w:val="FSTableText"/>
              <w:keepNext/>
              <w:keepLines/>
              <w:rPr>
                <w:sz w:val="18"/>
                <w:szCs w:val="18"/>
                <w:lang w:bidi="ar-SA"/>
              </w:rPr>
            </w:pPr>
            <w:r w:rsidRPr="00AE724F">
              <w:rPr>
                <w:sz w:val="18"/>
                <w:szCs w:val="18"/>
                <w:lang w:bidi="ar-SA"/>
              </w:rPr>
              <w:t>Walnut, almond, peanut, hazelnuts, Brazil nuts, coconut</w:t>
            </w:r>
          </w:p>
        </w:tc>
        <w:tc>
          <w:tcPr>
            <w:tcW w:w="1280" w:type="dxa"/>
          </w:tcPr>
          <w:p w14:paraId="22862732" w14:textId="77777777" w:rsidR="002A16F7" w:rsidRPr="00AE724F" w:rsidRDefault="002A16F7" w:rsidP="00770057">
            <w:pPr>
              <w:pStyle w:val="FSTableText"/>
              <w:keepNext/>
              <w:keepLines/>
              <w:jc w:val="right"/>
              <w:rPr>
                <w:sz w:val="18"/>
                <w:szCs w:val="18"/>
                <w:lang w:bidi="ar-SA"/>
              </w:rPr>
            </w:pPr>
            <w:r w:rsidRPr="00AE724F">
              <w:rPr>
                <w:sz w:val="18"/>
                <w:szCs w:val="18"/>
                <w:lang w:bidi="ar-SA"/>
              </w:rPr>
              <w:t>n/a</w:t>
            </w:r>
          </w:p>
        </w:tc>
        <w:tc>
          <w:tcPr>
            <w:tcW w:w="1973" w:type="dxa"/>
            <w:gridSpan w:val="2"/>
          </w:tcPr>
          <w:p w14:paraId="0F9A6197" w14:textId="77777777" w:rsidR="002A16F7" w:rsidRPr="00AE724F" w:rsidRDefault="002A16F7" w:rsidP="00770057">
            <w:pPr>
              <w:pStyle w:val="FSTableText"/>
              <w:keepNext/>
              <w:keepLines/>
              <w:jc w:val="center"/>
              <w:rPr>
                <w:sz w:val="18"/>
                <w:szCs w:val="18"/>
                <w:highlight w:val="yellow"/>
                <w:lang w:bidi="ar-SA"/>
              </w:rPr>
            </w:pPr>
            <w:r w:rsidRPr="00AE724F">
              <w:rPr>
                <w:sz w:val="18"/>
                <w:szCs w:val="18"/>
                <w:lang w:bidi="ar-SA"/>
              </w:rPr>
              <w:t>0.36–1.7</w:t>
            </w:r>
          </w:p>
        </w:tc>
      </w:tr>
      <w:tr w:rsidR="002A16F7" w:rsidRPr="0049774A" w14:paraId="55438617" w14:textId="77777777" w:rsidTr="00AD2928">
        <w:trPr>
          <w:cantSplit/>
        </w:trPr>
        <w:tc>
          <w:tcPr>
            <w:tcW w:w="1357" w:type="dxa"/>
            <w:vMerge w:val="restart"/>
          </w:tcPr>
          <w:p w14:paraId="4CEFAA6C" w14:textId="77777777" w:rsidR="002A16F7" w:rsidRPr="00AE724F" w:rsidRDefault="002A16F7" w:rsidP="00770057">
            <w:pPr>
              <w:pStyle w:val="FSTableText"/>
              <w:keepNext/>
              <w:keepLines/>
              <w:rPr>
                <w:sz w:val="18"/>
                <w:szCs w:val="18"/>
                <w:lang w:bidi="ar-SA"/>
              </w:rPr>
            </w:pPr>
            <w:r w:rsidRPr="00AE724F">
              <w:rPr>
                <w:sz w:val="18"/>
                <w:szCs w:val="18"/>
                <w:lang w:bidi="ar-SA"/>
              </w:rPr>
              <w:t xml:space="preserve">Schlemmer </w:t>
            </w:r>
            <w:r w:rsidR="0071622F" w:rsidRPr="0071622F">
              <w:rPr>
                <w:sz w:val="18"/>
                <w:szCs w:val="18"/>
                <w:lang w:bidi="ar-SA"/>
              </w:rPr>
              <w:t>et al.</w:t>
            </w:r>
            <w:r w:rsidRPr="00AE724F">
              <w:rPr>
                <w:sz w:val="18"/>
                <w:szCs w:val="18"/>
                <w:lang w:bidi="ar-SA"/>
              </w:rPr>
              <w:t xml:space="preserve"> (2009)</w:t>
            </w:r>
          </w:p>
        </w:tc>
        <w:tc>
          <w:tcPr>
            <w:tcW w:w="1473" w:type="dxa"/>
          </w:tcPr>
          <w:p w14:paraId="2169D830" w14:textId="77777777" w:rsidR="002A16F7" w:rsidRPr="00AE724F" w:rsidRDefault="002A16F7" w:rsidP="00770057">
            <w:pPr>
              <w:pStyle w:val="FSTableText"/>
              <w:keepNext/>
              <w:keepLines/>
              <w:rPr>
                <w:sz w:val="18"/>
                <w:szCs w:val="18"/>
                <w:lang w:bidi="ar-SA"/>
              </w:rPr>
            </w:pPr>
            <w:r w:rsidRPr="00AE724F">
              <w:rPr>
                <w:sz w:val="18"/>
                <w:szCs w:val="18"/>
                <w:lang w:bidi="ar-SA"/>
              </w:rPr>
              <w:t>Cereals</w:t>
            </w:r>
          </w:p>
        </w:tc>
        <w:tc>
          <w:tcPr>
            <w:tcW w:w="2977" w:type="dxa"/>
          </w:tcPr>
          <w:p w14:paraId="749772F0" w14:textId="77777777" w:rsidR="002A16F7" w:rsidRPr="00AE724F" w:rsidRDefault="002A16F7" w:rsidP="00770057">
            <w:pPr>
              <w:pStyle w:val="FSTableText"/>
              <w:keepNext/>
              <w:keepLines/>
              <w:rPr>
                <w:sz w:val="18"/>
                <w:szCs w:val="18"/>
                <w:lang w:bidi="ar-SA"/>
              </w:rPr>
            </w:pPr>
            <w:r w:rsidRPr="00AE724F">
              <w:rPr>
                <w:sz w:val="18"/>
                <w:szCs w:val="18"/>
                <w:lang w:bidi="ar-SA"/>
              </w:rPr>
              <w:t>Cereals (excluding bran and germ)</w:t>
            </w:r>
          </w:p>
        </w:tc>
        <w:tc>
          <w:tcPr>
            <w:tcW w:w="1280" w:type="dxa"/>
          </w:tcPr>
          <w:p w14:paraId="712168A8" w14:textId="77777777" w:rsidR="002A16F7" w:rsidRPr="00AE724F" w:rsidRDefault="002A16F7" w:rsidP="00770057">
            <w:pPr>
              <w:pStyle w:val="FSTableText"/>
              <w:keepNext/>
              <w:keepLines/>
              <w:jc w:val="right"/>
              <w:rPr>
                <w:sz w:val="18"/>
                <w:szCs w:val="18"/>
                <w:lang w:bidi="ar-SA"/>
              </w:rPr>
            </w:pPr>
            <w:r w:rsidRPr="00AE724F">
              <w:rPr>
                <w:sz w:val="18"/>
                <w:szCs w:val="18"/>
                <w:lang w:bidi="ar-SA"/>
              </w:rPr>
              <w:t>n/a</w:t>
            </w:r>
          </w:p>
        </w:tc>
        <w:tc>
          <w:tcPr>
            <w:tcW w:w="1973" w:type="dxa"/>
            <w:gridSpan w:val="2"/>
          </w:tcPr>
          <w:p w14:paraId="29B8DE75" w14:textId="77777777" w:rsidR="002A16F7" w:rsidRPr="00AE724F" w:rsidRDefault="002A16F7" w:rsidP="00770057">
            <w:pPr>
              <w:pStyle w:val="FSTableText"/>
              <w:keepNext/>
              <w:keepLines/>
              <w:jc w:val="center"/>
              <w:rPr>
                <w:sz w:val="18"/>
                <w:szCs w:val="18"/>
                <w:lang w:bidi="ar-SA"/>
              </w:rPr>
            </w:pPr>
            <w:r w:rsidRPr="00AE724F">
              <w:rPr>
                <w:sz w:val="18"/>
                <w:szCs w:val="18"/>
                <w:lang w:bidi="ar-SA"/>
              </w:rPr>
              <w:t>0.06–2.22</w:t>
            </w:r>
          </w:p>
          <w:p w14:paraId="343AF7DC" w14:textId="77777777" w:rsidR="002A16F7" w:rsidRPr="00AE724F" w:rsidRDefault="002A16F7" w:rsidP="00770057">
            <w:pPr>
              <w:pStyle w:val="FSTableText"/>
              <w:keepNext/>
              <w:keepLines/>
              <w:jc w:val="center"/>
              <w:rPr>
                <w:sz w:val="18"/>
                <w:szCs w:val="18"/>
                <w:lang w:bidi="ar-SA"/>
              </w:rPr>
            </w:pPr>
            <w:r w:rsidRPr="00AE724F">
              <w:rPr>
                <w:sz w:val="18"/>
                <w:szCs w:val="18"/>
                <w:lang w:bidi="ar-SA"/>
              </w:rPr>
              <w:t>(sorghum: 3.35)</w:t>
            </w:r>
          </w:p>
        </w:tc>
      </w:tr>
      <w:tr w:rsidR="002A16F7" w:rsidRPr="0049774A" w14:paraId="1CE2698B" w14:textId="77777777" w:rsidTr="00AD2928">
        <w:trPr>
          <w:cantSplit/>
        </w:trPr>
        <w:tc>
          <w:tcPr>
            <w:tcW w:w="1357" w:type="dxa"/>
            <w:vMerge/>
          </w:tcPr>
          <w:p w14:paraId="1A7C1206" w14:textId="77777777" w:rsidR="002A16F7" w:rsidRPr="00AE724F" w:rsidRDefault="002A16F7" w:rsidP="00770057">
            <w:pPr>
              <w:pStyle w:val="FSTableText"/>
              <w:keepNext/>
              <w:keepLines/>
              <w:rPr>
                <w:sz w:val="18"/>
                <w:szCs w:val="18"/>
                <w:lang w:bidi="ar-SA"/>
              </w:rPr>
            </w:pPr>
          </w:p>
        </w:tc>
        <w:tc>
          <w:tcPr>
            <w:tcW w:w="1473" w:type="dxa"/>
          </w:tcPr>
          <w:p w14:paraId="24CC38B6" w14:textId="77777777" w:rsidR="002A16F7" w:rsidRPr="00AE724F" w:rsidRDefault="002A16F7" w:rsidP="00770057">
            <w:pPr>
              <w:pStyle w:val="FSTableText"/>
              <w:keepNext/>
              <w:keepLines/>
              <w:rPr>
                <w:sz w:val="18"/>
                <w:szCs w:val="18"/>
                <w:lang w:bidi="ar-SA"/>
              </w:rPr>
            </w:pPr>
            <w:r w:rsidRPr="00AE724F">
              <w:rPr>
                <w:sz w:val="18"/>
                <w:szCs w:val="18"/>
                <w:lang w:bidi="ar-SA"/>
              </w:rPr>
              <w:t>Legumes</w:t>
            </w:r>
          </w:p>
        </w:tc>
        <w:tc>
          <w:tcPr>
            <w:tcW w:w="2977" w:type="dxa"/>
          </w:tcPr>
          <w:p w14:paraId="49A8715D" w14:textId="77777777" w:rsidR="002A16F7" w:rsidRPr="00AE724F" w:rsidRDefault="002A16F7" w:rsidP="00770057">
            <w:pPr>
              <w:pStyle w:val="FSTableText"/>
              <w:keepNext/>
              <w:keepLines/>
              <w:rPr>
                <w:sz w:val="18"/>
                <w:szCs w:val="18"/>
                <w:lang w:bidi="ar-SA"/>
              </w:rPr>
            </w:pPr>
            <w:r w:rsidRPr="00AE724F">
              <w:rPr>
                <w:sz w:val="18"/>
                <w:szCs w:val="18"/>
                <w:lang w:bidi="ar-SA"/>
              </w:rPr>
              <w:t>Whole legumes</w:t>
            </w:r>
          </w:p>
        </w:tc>
        <w:tc>
          <w:tcPr>
            <w:tcW w:w="1280" w:type="dxa"/>
          </w:tcPr>
          <w:p w14:paraId="5E11CF0E" w14:textId="77777777" w:rsidR="002A16F7" w:rsidRPr="00AE724F" w:rsidRDefault="002A16F7" w:rsidP="00770057">
            <w:pPr>
              <w:pStyle w:val="FSTableText"/>
              <w:keepNext/>
              <w:keepLines/>
              <w:jc w:val="right"/>
              <w:rPr>
                <w:sz w:val="18"/>
                <w:szCs w:val="18"/>
                <w:lang w:bidi="ar-SA"/>
              </w:rPr>
            </w:pPr>
            <w:r w:rsidRPr="00AE724F">
              <w:rPr>
                <w:sz w:val="18"/>
                <w:szCs w:val="18"/>
                <w:lang w:bidi="ar-SA"/>
              </w:rPr>
              <w:t>n/a</w:t>
            </w:r>
          </w:p>
        </w:tc>
        <w:tc>
          <w:tcPr>
            <w:tcW w:w="1973" w:type="dxa"/>
            <w:gridSpan w:val="2"/>
          </w:tcPr>
          <w:p w14:paraId="6C4136DB" w14:textId="77777777" w:rsidR="002A16F7" w:rsidRPr="00AE724F" w:rsidRDefault="002A16F7" w:rsidP="00770057">
            <w:pPr>
              <w:pStyle w:val="FSTableText"/>
              <w:keepNext/>
              <w:keepLines/>
              <w:jc w:val="center"/>
              <w:rPr>
                <w:sz w:val="18"/>
                <w:szCs w:val="18"/>
                <w:lang w:bidi="ar-SA"/>
              </w:rPr>
            </w:pPr>
            <w:r w:rsidRPr="00AE724F">
              <w:rPr>
                <w:sz w:val="18"/>
                <w:szCs w:val="18"/>
                <w:lang w:bidi="ar-SA"/>
              </w:rPr>
              <w:t>0.22–2.90</w:t>
            </w:r>
          </w:p>
        </w:tc>
      </w:tr>
      <w:tr w:rsidR="002A16F7" w:rsidRPr="0049774A" w14:paraId="05531579" w14:textId="77777777" w:rsidTr="00AD2928">
        <w:trPr>
          <w:cantSplit/>
        </w:trPr>
        <w:tc>
          <w:tcPr>
            <w:tcW w:w="1357" w:type="dxa"/>
            <w:vMerge/>
          </w:tcPr>
          <w:p w14:paraId="34F7C83F" w14:textId="77777777" w:rsidR="002A16F7" w:rsidRPr="00AE724F" w:rsidRDefault="002A16F7" w:rsidP="00770057">
            <w:pPr>
              <w:pStyle w:val="FSTableText"/>
              <w:keepNext/>
              <w:keepLines/>
              <w:rPr>
                <w:sz w:val="18"/>
                <w:szCs w:val="18"/>
                <w:lang w:bidi="ar-SA"/>
              </w:rPr>
            </w:pPr>
          </w:p>
        </w:tc>
        <w:tc>
          <w:tcPr>
            <w:tcW w:w="1473" w:type="dxa"/>
          </w:tcPr>
          <w:p w14:paraId="20C9EF0E" w14:textId="77777777" w:rsidR="002A16F7" w:rsidRPr="00AE724F" w:rsidRDefault="002A16F7" w:rsidP="00770057">
            <w:pPr>
              <w:pStyle w:val="FSTableText"/>
              <w:keepNext/>
              <w:keepLines/>
              <w:rPr>
                <w:sz w:val="18"/>
                <w:szCs w:val="18"/>
                <w:lang w:bidi="ar-SA"/>
              </w:rPr>
            </w:pPr>
            <w:r w:rsidRPr="00AE724F">
              <w:rPr>
                <w:sz w:val="18"/>
                <w:szCs w:val="18"/>
                <w:lang w:bidi="ar-SA"/>
              </w:rPr>
              <w:t>Nuts</w:t>
            </w:r>
          </w:p>
        </w:tc>
        <w:tc>
          <w:tcPr>
            <w:tcW w:w="2977" w:type="dxa"/>
          </w:tcPr>
          <w:p w14:paraId="7DE4C193" w14:textId="77777777" w:rsidR="002A16F7" w:rsidRPr="00AE724F" w:rsidRDefault="002A16F7" w:rsidP="00770057">
            <w:pPr>
              <w:pStyle w:val="FSTableText"/>
              <w:keepNext/>
              <w:keepLines/>
              <w:rPr>
                <w:sz w:val="18"/>
                <w:szCs w:val="18"/>
                <w:lang w:bidi="ar-SA"/>
              </w:rPr>
            </w:pPr>
            <w:r w:rsidRPr="00AE724F">
              <w:rPr>
                <w:sz w:val="18"/>
                <w:szCs w:val="18"/>
                <w:lang w:bidi="ar-SA"/>
              </w:rPr>
              <w:t>Nuts</w:t>
            </w:r>
          </w:p>
        </w:tc>
        <w:tc>
          <w:tcPr>
            <w:tcW w:w="1280" w:type="dxa"/>
          </w:tcPr>
          <w:p w14:paraId="4BE32E45" w14:textId="77777777" w:rsidR="002A16F7" w:rsidRPr="00AE724F" w:rsidRDefault="002A16F7" w:rsidP="00770057">
            <w:pPr>
              <w:pStyle w:val="FSTableText"/>
              <w:keepNext/>
              <w:keepLines/>
              <w:jc w:val="right"/>
              <w:rPr>
                <w:sz w:val="18"/>
                <w:szCs w:val="18"/>
                <w:lang w:bidi="ar-SA"/>
              </w:rPr>
            </w:pPr>
            <w:r w:rsidRPr="00AE724F">
              <w:rPr>
                <w:sz w:val="18"/>
                <w:szCs w:val="18"/>
                <w:lang w:bidi="ar-SA"/>
              </w:rPr>
              <w:t>n/a</w:t>
            </w:r>
          </w:p>
        </w:tc>
        <w:tc>
          <w:tcPr>
            <w:tcW w:w="1973" w:type="dxa"/>
            <w:gridSpan w:val="2"/>
          </w:tcPr>
          <w:p w14:paraId="6572EF4C" w14:textId="77777777" w:rsidR="002A16F7" w:rsidRPr="00AE724F" w:rsidRDefault="002A16F7" w:rsidP="00770057">
            <w:pPr>
              <w:pStyle w:val="FSTableText"/>
              <w:keepNext/>
              <w:keepLines/>
              <w:jc w:val="center"/>
              <w:rPr>
                <w:sz w:val="18"/>
                <w:szCs w:val="18"/>
                <w:lang w:bidi="ar-SA"/>
              </w:rPr>
            </w:pPr>
            <w:r w:rsidRPr="00AE724F">
              <w:rPr>
                <w:sz w:val="18"/>
                <w:szCs w:val="18"/>
                <w:lang w:bidi="ar-SA"/>
              </w:rPr>
              <w:t>0.15–9.42</w:t>
            </w:r>
          </w:p>
        </w:tc>
      </w:tr>
      <w:tr w:rsidR="002A16F7" w:rsidRPr="0049774A" w14:paraId="147A5DD4" w14:textId="77777777" w:rsidTr="00AD2928">
        <w:trPr>
          <w:cantSplit/>
        </w:trPr>
        <w:tc>
          <w:tcPr>
            <w:tcW w:w="1357" w:type="dxa"/>
            <w:vMerge w:val="restart"/>
          </w:tcPr>
          <w:p w14:paraId="5F6B74C8" w14:textId="77777777" w:rsidR="002A16F7" w:rsidRPr="00AE724F" w:rsidRDefault="002A16F7" w:rsidP="00852344">
            <w:pPr>
              <w:pStyle w:val="FSTableText"/>
              <w:rPr>
                <w:sz w:val="18"/>
                <w:szCs w:val="18"/>
                <w:lang w:bidi="ar-SA"/>
              </w:rPr>
            </w:pPr>
            <w:r w:rsidRPr="00AE724F">
              <w:rPr>
                <w:sz w:val="18"/>
                <w:szCs w:val="18"/>
                <w:lang w:bidi="ar-SA"/>
              </w:rPr>
              <w:t>Reddy (2002)</w:t>
            </w:r>
          </w:p>
        </w:tc>
        <w:tc>
          <w:tcPr>
            <w:tcW w:w="1473" w:type="dxa"/>
            <w:vMerge w:val="restart"/>
          </w:tcPr>
          <w:p w14:paraId="386C14D8" w14:textId="77777777" w:rsidR="002A16F7" w:rsidRPr="00AE724F" w:rsidRDefault="002A16F7" w:rsidP="00852344">
            <w:pPr>
              <w:pStyle w:val="FSTableText"/>
              <w:rPr>
                <w:sz w:val="18"/>
                <w:szCs w:val="18"/>
                <w:lang w:bidi="ar-SA"/>
              </w:rPr>
            </w:pPr>
            <w:r w:rsidRPr="00AE724F">
              <w:rPr>
                <w:sz w:val="18"/>
                <w:szCs w:val="18"/>
                <w:lang w:bidi="ar-SA"/>
              </w:rPr>
              <w:t>Bakery products, Cereals and cereal products</w:t>
            </w:r>
          </w:p>
        </w:tc>
        <w:tc>
          <w:tcPr>
            <w:tcW w:w="2977" w:type="dxa"/>
          </w:tcPr>
          <w:p w14:paraId="2568636F" w14:textId="77777777" w:rsidR="002A16F7" w:rsidRPr="00AE724F" w:rsidRDefault="002A16F7" w:rsidP="00852344">
            <w:pPr>
              <w:pStyle w:val="FSTableText"/>
              <w:rPr>
                <w:sz w:val="18"/>
                <w:szCs w:val="18"/>
                <w:lang w:bidi="ar-SA"/>
              </w:rPr>
            </w:pPr>
            <w:r w:rsidRPr="00AE724F">
              <w:rPr>
                <w:sz w:val="18"/>
                <w:szCs w:val="18"/>
                <w:lang w:bidi="ar-SA"/>
              </w:rPr>
              <w:t xml:space="preserve">Cereals </w:t>
            </w:r>
          </w:p>
        </w:tc>
        <w:tc>
          <w:tcPr>
            <w:tcW w:w="1280" w:type="dxa"/>
          </w:tcPr>
          <w:p w14:paraId="30BB5F4F"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1F442634"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0.06–2.22</w:t>
            </w:r>
          </w:p>
        </w:tc>
      </w:tr>
      <w:tr w:rsidR="002A16F7" w:rsidRPr="0049774A" w14:paraId="53CDD633" w14:textId="77777777" w:rsidTr="00AD2928">
        <w:trPr>
          <w:cantSplit/>
        </w:trPr>
        <w:tc>
          <w:tcPr>
            <w:tcW w:w="1357" w:type="dxa"/>
            <w:vMerge/>
          </w:tcPr>
          <w:p w14:paraId="356E45B0" w14:textId="77777777" w:rsidR="002A16F7" w:rsidRPr="00AE724F" w:rsidRDefault="002A16F7" w:rsidP="00852344">
            <w:pPr>
              <w:pStyle w:val="FSTableText"/>
              <w:rPr>
                <w:sz w:val="18"/>
                <w:szCs w:val="18"/>
                <w:lang w:bidi="ar-SA"/>
              </w:rPr>
            </w:pPr>
          </w:p>
        </w:tc>
        <w:tc>
          <w:tcPr>
            <w:tcW w:w="1473" w:type="dxa"/>
            <w:vMerge/>
          </w:tcPr>
          <w:p w14:paraId="62744934" w14:textId="77777777" w:rsidR="002A16F7" w:rsidRPr="00AE724F" w:rsidRDefault="002A16F7" w:rsidP="00852344">
            <w:pPr>
              <w:pStyle w:val="FSTableText"/>
              <w:rPr>
                <w:sz w:val="18"/>
                <w:szCs w:val="18"/>
                <w:lang w:bidi="ar-SA"/>
              </w:rPr>
            </w:pPr>
          </w:p>
        </w:tc>
        <w:tc>
          <w:tcPr>
            <w:tcW w:w="2977" w:type="dxa"/>
          </w:tcPr>
          <w:p w14:paraId="222928AF" w14:textId="77777777" w:rsidR="002A16F7" w:rsidRPr="00AE724F" w:rsidRDefault="002A16F7" w:rsidP="00852344">
            <w:pPr>
              <w:pStyle w:val="FSTableText"/>
              <w:rPr>
                <w:sz w:val="18"/>
                <w:szCs w:val="18"/>
                <w:lang w:bidi="ar-SA"/>
              </w:rPr>
            </w:pPr>
            <w:r w:rsidRPr="00AE724F">
              <w:rPr>
                <w:sz w:val="18"/>
                <w:szCs w:val="18"/>
                <w:lang w:bidi="ar-SA"/>
              </w:rPr>
              <w:t>Ready-to-eat cereal products</w:t>
            </w:r>
          </w:p>
        </w:tc>
        <w:tc>
          <w:tcPr>
            <w:tcW w:w="1280" w:type="dxa"/>
          </w:tcPr>
          <w:p w14:paraId="200A7E6B"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4DA0953A" w14:textId="77777777" w:rsidR="002A16F7" w:rsidRPr="00AE724F" w:rsidRDefault="002A16F7" w:rsidP="00852344">
            <w:pPr>
              <w:pStyle w:val="FSTableText"/>
              <w:jc w:val="center"/>
              <w:rPr>
                <w:sz w:val="18"/>
                <w:szCs w:val="18"/>
                <w:lang w:bidi="ar-SA"/>
              </w:rPr>
            </w:pPr>
            <w:r w:rsidRPr="00AE724F">
              <w:rPr>
                <w:sz w:val="18"/>
                <w:szCs w:val="18"/>
                <w:lang w:bidi="ar-SA"/>
              </w:rPr>
              <w:t>0.05–1.83</w:t>
            </w:r>
          </w:p>
          <w:p w14:paraId="2489C16A" w14:textId="5B68BA9F" w:rsidR="002A16F7" w:rsidRPr="00AE724F" w:rsidRDefault="002A16F7" w:rsidP="00D440C7">
            <w:pPr>
              <w:pStyle w:val="FSTableText"/>
              <w:jc w:val="center"/>
              <w:rPr>
                <w:sz w:val="18"/>
                <w:szCs w:val="18"/>
                <w:highlight w:val="yellow"/>
                <w:lang w:bidi="ar-SA"/>
              </w:rPr>
            </w:pPr>
            <w:r w:rsidRPr="00AE724F">
              <w:rPr>
                <w:sz w:val="18"/>
                <w:szCs w:val="18"/>
                <w:lang w:bidi="ar-SA"/>
              </w:rPr>
              <w:t>(Wheat cereal, 100% Bran: 3.29)</w:t>
            </w:r>
          </w:p>
        </w:tc>
      </w:tr>
      <w:tr w:rsidR="002A16F7" w:rsidRPr="0049774A" w14:paraId="415B0B73" w14:textId="77777777" w:rsidTr="00AD2928">
        <w:trPr>
          <w:cantSplit/>
        </w:trPr>
        <w:tc>
          <w:tcPr>
            <w:tcW w:w="1357" w:type="dxa"/>
            <w:vMerge/>
          </w:tcPr>
          <w:p w14:paraId="1A9F4270" w14:textId="77777777" w:rsidR="002A16F7" w:rsidRPr="00AE724F" w:rsidRDefault="002A16F7" w:rsidP="00852344">
            <w:pPr>
              <w:pStyle w:val="FSTableText"/>
              <w:rPr>
                <w:sz w:val="18"/>
                <w:szCs w:val="18"/>
                <w:lang w:bidi="ar-SA"/>
              </w:rPr>
            </w:pPr>
          </w:p>
        </w:tc>
        <w:tc>
          <w:tcPr>
            <w:tcW w:w="1473" w:type="dxa"/>
            <w:vMerge/>
          </w:tcPr>
          <w:p w14:paraId="6AC48958" w14:textId="77777777" w:rsidR="002A16F7" w:rsidRPr="00AE724F" w:rsidRDefault="002A16F7" w:rsidP="00852344">
            <w:pPr>
              <w:pStyle w:val="FSTableText"/>
              <w:rPr>
                <w:sz w:val="18"/>
                <w:szCs w:val="18"/>
                <w:lang w:bidi="ar-SA"/>
              </w:rPr>
            </w:pPr>
          </w:p>
        </w:tc>
        <w:tc>
          <w:tcPr>
            <w:tcW w:w="2977" w:type="dxa"/>
          </w:tcPr>
          <w:p w14:paraId="10D5D9D3" w14:textId="77777777" w:rsidR="002A16F7" w:rsidRPr="00AE724F" w:rsidRDefault="002A16F7" w:rsidP="00852344">
            <w:pPr>
              <w:pStyle w:val="FSTableText"/>
              <w:rPr>
                <w:sz w:val="18"/>
                <w:szCs w:val="18"/>
                <w:lang w:bidi="ar-SA"/>
              </w:rPr>
            </w:pPr>
            <w:r w:rsidRPr="00AE724F">
              <w:rPr>
                <w:sz w:val="18"/>
                <w:szCs w:val="18"/>
                <w:lang w:bidi="ar-SA"/>
              </w:rPr>
              <w:t>Infant cereals</w:t>
            </w:r>
          </w:p>
        </w:tc>
        <w:tc>
          <w:tcPr>
            <w:tcW w:w="1280" w:type="dxa"/>
          </w:tcPr>
          <w:p w14:paraId="771239DB"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11428E55"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0.06–1.38</w:t>
            </w:r>
          </w:p>
        </w:tc>
      </w:tr>
      <w:tr w:rsidR="002A16F7" w:rsidRPr="0049774A" w14:paraId="7E07B6A3" w14:textId="77777777" w:rsidTr="00AD2928">
        <w:trPr>
          <w:cantSplit/>
        </w:trPr>
        <w:tc>
          <w:tcPr>
            <w:tcW w:w="1357" w:type="dxa"/>
            <w:vMerge/>
          </w:tcPr>
          <w:p w14:paraId="5CD319EF" w14:textId="77777777" w:rsidR="002A16F7" w:rsidRPr="00AE724F" w:rsidRDefault="002A16F7" w:rsidP="00852344">
            <w:pPr>
              <w:pStyle w:val="FSTableText"/>
              <w:rPr>
                <w:sz w:val="18"/>
                <w:szCs w:val="18"/>
                <w:lang w:bidi="ar-SA"/>
              </w:rPr>
            </w:pPr>
          </w:p>
        </w:tc>
        <w:tc>
          <w:tcPr>
            <w:tcW w:w="1473" w:type="dxa"/>
            <w:vMerge/>
          </w:tcPr>
          <w:p w14:paraId="2996D9E4" w14:textId="77777777" w:rsidR="002A16F7" w:rsidRPr="00AE724F" w:rsidRDefault="002A16F7" w:rsidP="00852344">
            <w:pPr>
              <w:pStyle w:val="FSTableText"/>
              <w:rPr>
                <w:sz w:val="18"/>
                <w:szCs w:val="18"/>
                <w:lang w:bidi="ar-SA"/>
              </w:rPr>
            </w:pPr>
          </w:p>
        </w:tc>
        <w:tc>
          <w:tcPr>
            <w:tcW w:w="2977" w:type="dxa"/>
          </w:tcPr>
          <w:p w14:paraId="1B31C12B" w14:textId="77777777" w:rsidR="002A16F7" w:rsidRPr="00AE724F" w:rsidRDefault="002A16F7" w:rsidP="00852344">
            <w:pPr>
              <w:pStyle w:val="FSTableText"/>
              <w:rPr>
                <w:sz w:val="18"/>
                <w:szCs w:val="18"/>
                <w:lang w:bidi="ar-SA"/>
              </w:rPr>
            </w:pPr>
            <w:r w:rsidRPr="00AE724F">
              <w:rPr>
                <w:sz w:val="18"/>
                <w:szCs w:val="18"/>
                <w:lang w:bidi="ar-SA"/>
              </w:rPr>
              <w:t>Breads</w:t>
            </w:r>
          </w:p>
        </w:tc>
        <w:tc>
          <w:tcPr>
            <w:tcW w:w="1280" w:type="dxa"/>
          </w:tcPr>
          <w:p w14:paraId="5ECC5115"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5F4F70E3"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0.03–1.38</w:t>
            </w:r>
          </w:p>
          <w:p w14:paraId="05AAA1A4" w14:textId="586292E6" w:rsidR="002A16F7" w:rsidRPr="00AE724F" w:rsidRDefault="002A16F7" w:rsidP="00852344">
            <w:pPr>
              <w:pStyle w:val="FSTableText"/>
              <w:jc w:val="center"/>
              <w:rPr>
                <w:sz w:val="18"/>
                <w:szCs w:val="18"/>
                <w:highlight w:val="yellow"/>
                <w:lang w:bidi="ar-SA"/>
              </w:rPr>
            </w:pPr>
            <w:r w:rsidRPr="00AE724F">
              <w:rPr>
                <w:sz w:val="18"/>
                <w:szCs w:val="18"/>
                <w:lang w:bidi="ar-SA"/>
              </w:rPr>
              <w:t>(Iranian flat bread</w:t>
            </w:r>
            <w:r w:rsidR="0098526C" w:rsidRPr="00AE724F">
              <w:rPr>
                <w:sz w:val="18"/>
                <w:szCs w:val="18"/>
                <w:lang w:bidi="ar-SA"/>
              </w:rPr>
              <w:t>,</w:t>
            </w:r>
            <w:r w:rsidRPr="00AE724F">
              <w:rPr>
                <w:sz w:val="18"/>
                <w:szCs w:val="18"/>
                <w:lang w:bidi="ar-SA"/>
              </w:rPr>
              <w:t xml:space="preserve"> Tanok, unleavened: 2.41)</w:t>
            </w:r>
          </w:p>
        </w:tc>
      </w:tr>
      <w:tr w:rsidR="002A16F7" w:rsidRPr="0049774A" w14:paraId="2E1C8EB5" w14:textId="77777777" w:rsidTr="00AD2928">
        <w:trPr>
          <w:cantSplit/>
        </w:trPr>
        <w:tc>
          <w:tcPr>
            <w:tcW w:w="1357" w:type="dxa"/>
            <w:vMerge/>
          </w:tcPr>
          <w:p w14:paraId="08F695E9" w14:textId="77777777" w:rsidR="002A16F7" w:rsidRPr="00AE724F" w:rsidRDefault="002A16F7" w:rsidP="00852344">
            <w:pPr>
              <w:pStyle w:val="FSTableText"/>
              <w:rPr>
                <w:sz w:val="18"/>
                <w:szCs w:val="18"/>
                <w:lang w:bidi="ar-SA"/>
              </w:rPr>
            </w:pPr>
          </w:p>
        </w:tc>
        <w:tc>
          <w:tcPr>
            <w:tcW w:w="1473" w:type="dxa"/>
            <w:vMerge w:val="restart"/>
          </w:tcPr>
          <w:p w14:paraId="76E1C782" w14:textId="77777777" w:rsidR="002A16F7" w:rsidRPr="00AE724F" w:rsidRDefault="002A16F7" w:rsidP="00852344">
            <w:pPr>
              <w:pStyle w:val="FSTableText"/>
              <w:rPr>
                <w:sz w:val="18"/>
                <w:szCs w:val="18"/>
                <w:lang w:bidi="ar-SA"/>
              </w:rPr>
            </w:pPr>
            <w:r w:rsidRPr="00AE724F">
              <w:rPr>
                <w:sz w:val="18"/>
                <w:szCs w:val="18"/>
                <w:lang w:bidi="ar-SA"/>
              </w:rPr>
              <w:t>Beans and bean products</w:t>
            </w:r>
          </w:p>
        </w:tc>
        <w:tc>
          <w:tcPr>
            <w:tcW w:w="2977" w:type="dxa"/>
          </w:tcPr>
          <w:p w14:paraId="4EAFCB73" w14:textId="77777777" w:rsidR="002A16F7" w:rsidRPr="00AE724F" w:rsidRDefault="002A16F7" w:rsidP="00852344">
            <w:pPr>
              <w:pStyle w:val="FSTableText"/>
              <w:rPr>
                <w:sz w:val="18"/>
                <w:szCs w:val="18"/>
                <w:lang w:bidi="ar-SA"/>
              </w:rPr>
            </w:pPr>
            <w:r w:rsidRPr="00AE724F">
              <w:rPr>
                <w:sz w:val="18"/>
                <w:szCs w:val="18"/>
                <w:lang w:bidi="ar-SA"/>
              </w:rPr>
              <w:t>Whole beans</w:t>
            </w:r>
          </w:p>
        </w:tc>
        <w:tc>
          <w:tcPr>
            <w:tcW w:w="1280" w:type="dxa"/>
          </w:tcPr>
          <w:p w14:paraId="491CD31E"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71DC05A7" w14:textId="77777777" w:rsidR="002A16F7" w:rsidRPr="00AE724F" w:rsidRDefault="002A16F7" w:rsidP="00852344">
            <w:pPr>
              <w:pStyle w:val="FSTableText"/>
              <w:jc w:val="center"/>
              <w:rPr>
                <w:sz w:val="18"/>
                <w:szCs w:val="18"/>
                <w:lang w:bidi="ar-SA"/>
              </w:rPr>
            </w:pPr>
            <w:r w:rsidRPr="00AE724F">
              <w:rPr>
                <w:sz w:val="18"/>
                <w:szCs w:val="18"/>
                <w:lang w:bidi="ar-SA"/>
              </w:rPr>
              <w:t>0.17–2.93</w:t>
            </w:r>
          </w:p>
          <w:p w14:paraId="20D1DD1E"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(pigeon bean: 0.22–7.00; dolique beans: 5.92–9.15)</w:t>
            </w:r>
          </w:p>
        </w:tc>
      </w:tr>
      <w:tr w:rsidR="002A16F7" w:rsidRPr="0049774A" w14:paraId="244C8FA2" w14:textId="77777777" w:rsidTr="00AD2928">
        <w:trPr>
          <w:cantSplit/>
        </w:trPr>
        <w:tc>
          <w:tcPr>
            <w:tcW w:w="1357" w:type="dxa"/>
            <w:vMerge/>
          </w:tcPr>
          <w:p w14:paraId="189B822F" w14:textId="77777777" w:rsidR="002A16F7" w:rsidRPr="00AE724F" w:rsidRDefault="002A16F7" w:rsidP="00852344">
            <w:pPr>
              <w:pStyle w:val="FSTableText"/>
              <w:rPr>
                <w:sz w:val="18"/>
                <w:szCs w:val="18"/>
                <w:lang w:bidi="ar-SA"/>
              </w:rPr>
            </w:pPr>
          </w:p>
        </w:tc>
        <w:tc>
          <w:tcPr>
            <w:tcW w:w="1473" w:type="dxa"/>
            <w:vMerge/>
          </w:tcPr>
          <w:p w14:paraId="20DE030B" w14:textId="77777777" w:rsidR="002A16F7" w:rsidRPr="00AE724F" w:rsidRDefault="002A16F7" w:rsidP="00852344">
            <w:pPr>
              <w:pStyle w:val="FSTableText"/>
              <w:rPr>
                <w:sz w:val="18"/>
                <w:szCs w:val="18"/>
                <w:lang w:bidi="ar-SA"/>
              </w:rPr>
            </w:pPr>
          </w:p>
        </w:tc>
        <w:tc>
          <w:tcPr>
            <w:tcW w:w="2977" w:type="dxa"/>
          </w:tcPr>
          <w:p w14:paraId="002778CB" w14:textId="77777777" w:rsidR="002A16F7" w:rsidRPr="00AE724F" w:rsidRDefault="002A16F7" w:rsidP="00852344">
            <w:pPr>
              <w:pStyle w:val="FSTableText"/>
              <w:rPr>
                <w:sz w:val="18"/>
                <w:szCs w:val="18"/>
                <w:lang w:bidi="ar-SA"/>
              </w:rPr>
            </w:pPr>
            <w:r w:rsidRPr="00AE724F">
              <w:rPr>
                <w:sz w:val="18"/>
                <w:szCs w:val="18"/>
                <w:lang w:bidi="ar-SA"/>
              </w:rPr>
              <w:t>Bean-based foods</w:t>
            </w:r>
          </w:p>
        </w:tc>
        <w:tc>
          <w:tcPr>
            <w:tcW w:w="1280" w:type="dxa"/>
          </w:tcPr>
          <w:p w14:paraId="0551B547"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2AA41ABF" w14:textId="77777777" w:rsidR="002A16F7" w:rsidRPr="00AE724F" w:rsidRDefault="002A16F7" w:rsidP="00852344">
            <w:pPr>
              <w:pStyle w:val="FSTableText"/>
              <w:jc w:val="center"/>
              <w:rPr>
                <w:sz w:val="18"/>
                <w:szCs w:val="18"/>
                <w:lang w:bidi="ar-SA"/>
              </w:rPr>
            </w:pPr>
            <w:r w:rsidRPr="00AE724F">
              <w:rPr>
                <w:sz w:val="18"/>
                <w:szCs w:val="18"/>
                <w:lang w:bidi="ar-SA"/>
              </w:rPr>
              <w:t>0.05–2.90</w:t>
            </w:r>
          </w:p>
          <w:p w14:paraId="74A2CAD7"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(khaman: 5.20)</w:t>
            </w:r>
          </w:p>
        </w:tc>
      </w:tr>
      <w:tr w:rsidR="002A16F7" w:rsidRPr="0049774A" w14:paraId="7D45B84F" w14:textId="77777777" w:rsidTr="00AD2928">
        <w:trPr>
          <w:cantSplit/>
        </w:trPr>
        <w:tc>
          <w:tcPr>
            <w:tcW w:w="1357" w:type="dxa"/>
            <w:vMerge/>
          </w:tcPr>
          <w:p w14:paraId="282EFCEA" w14:textId="77777777" w:rsidR="002A16F7" w:rsidRPr="00AE724F" w:rsidRDefault="002A16F7" w:rsidP="00852344">
            <w:pPr>
              <w:pStyle w:val="FSTableText"/>
              <w:rPr>
                <w:sz w:val="18"/>
                <w:szCs w:val="18"/>
                <w:lang w:bidi="ar-SA"/>
              </w:rPr>
            </w:pPr>
          </w:p>
        </w:tc>
        <w:tc>
          <w:tcPr>
            <w:tcW w:w="1473" w:type="dxa"/>
            <w:vMerge w:val="restart"/>
          </w:tcPr>
          <w:p w14:paraId="2DA9664A" w14:textId="77777777" w:rsidR="002A16F7" w:rsidRPr="00AE724F" w:rsidRDefault="002A16F7" w:rsidP="00852344">
            <w:pPr>
              <w:pStyle w:val="FSTableText"/>
              <w:rPr>
                <w:sz w:val="18"/>
                <w:szCs w:val="18"/>
                <w:lang w:bidi="ar-SA"/>
              </w:rPr>
            </w:pPr>
            <w:r w:rsidRPr="00AE724F">
              <w:rPr>
                <w:sz w:val="18"/>
                <w:szCs w:val="18"/>
                <w:lang w:bidi="ar-SA"/>
              </w:rPr>
              <w:t>Tubers, fruits, leafy vegetables, nuts, and other foods</w:t>
            </w:r>
          </w:p>
        </w:tc>
        <w:tc>
          <w:tcPr>
            <w:tcW w:w="2977" w:type="dxa"/>
          </w:tcPr>
          <w:p w14:paraId="56C5F115" w14:textId="77777777" w:rsidR="002A16F7" w:rsidRPr="00AE724F" w:rsidRDefault="002A16F7" w:rsidP="00852344">
            <w:pPr>
              <w:pStyle w:val="FSTableText"/>
              <w:rPr>
                <w:sz w:val="18"/>
                <w:szCs w:val="18"/>
                <w:lang w:bidi="ar-SA"/>
              </w:rPr>
            </w:pPr>
            <w:r w:rsidRPr="00AE724F">
              <w:rPr>
                <w:sz w:val="18"/>
                <w:szCs w:val="18"/>
                <w:lang w:bidi="ar-SA"/>
              </w:rPr>
              <w:t>Tubers</w:t>
            </w:r>
          </w:p>
        </w:tc>
        <w:tc>
          <w:tcPr>
            <w:tcW w:w="1280" w:type="dxa"/>
          </w:tcPr>
          <w:p w14:paraId="02BEA86C"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674FD906"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0.01–0.32</w:t>
            </w:r>
          </w:p>
        </w:tc>
      </w:tr>
      <w:tr w:rsidR="002A16F7" w:rsidRPr="0049774A" w14:paraId="237C5F63" w14:textId="77777777" w:rsidTr="00AD2928">
        <w:trPr>
          <w:cantSplit/>
        </w:trPr>
        <w:tc>
          <w:tcPr>
            <w:tcW w:w="1357" w:type="dxa"/>
            <w:vMerge/>
          </w:tcPr>
          <w:p w14:paraId="76BCAC93" w14:textId="77777777" w:rsidR="002A16F7" w:rsidRPr="00AE724F" w:rsidRDefault="002A16F7" w:rsidP="00852344">
            <w:pPr>
              <w:pStyle w:val="FSTableText"/>
              <w:rPr>
                <w:sz w:val="18"/>
                <w:szCs w:val="18"/>
                <w:lang w:bidi="ar-SA"/>
              </w:rPr>
            </w:pPr>
          </w:p>
        </w:tc>
        <w:tc>
          <w:tcPr>
            <w:tcW w:w="1473" w:type="dxa"/>
            <w:vMerge/>
          </w:tcPr>
          <w:p w14:paraId="3F358999" w14:textId="77777777" w:rsidR="002A16F7" w:rsidRPr="00AE724F" w:rsidRDefault="002A16F7" w:rsidP="00852344">
            <w:pPr>
              <w:pStyle w:val="FSTableText"/>
              <w:rPr>
                <w:sz w:val="18"/>
                <w:szCs w:val="18"/>
                <w:lang w:bidi="ar-SA"/>
              </w:rPr>
            </w:pPr>
          </w:p>
        </w:tc>
        <w:tc>
          <w:tcPr>
            <w:tcW w:w="2977" w:type="dxa"/>
          </w:tcPr>
          <w:p w14:paraId="03EC98B7" w14:textId="77777777" w:rsidR="002A16F7" w:rsidRPr="00AE724F" w:rsidRDefault="002A16F7" w:rsidP="00852344">
            <w:pPr>
              <w:pStyle w:val="FSTableText"/>
              <w:rPr>
                <w:sz w:val="18"/>
                <w:szCs w:val="18"/>
                <w:lang w:bidi="ar-SA"/>
              </w:rPr>
            </w:pPr>
            <w:r w:rsidRPr="00AE724F">
              <w:rPr>
                <w:sz w:val="18"/>
                <w:szCs w:val="18"/>
                <w:lang w:bidi="ar-SA"/>
              </w:rPr>
              <w:t>Fruit</w:t>
            </w:r>
          </w:p>
        </w:tc>
        <w:tc>
          <w:tcPr>
            <w:tcW w:w="1280" w:type="dxa"/>
          </w:tcPr>
          <w:p w14:paraId="26AB47B3" w14:textId="77777777" w:rsidR="002A16F7" w:rsidRPr="00AE724F" w:rsidRDefault="002A16F7" w:rsidP="00D440C7">
            <w:pPr>
              <w:pStyle w:val="FSTableText"/>
              <w:jc w:val="right"/>
              <w:rPr>
                <w:sz w:val="18"/>
                <w:szCs w:val="18"/>
                <w:lang w:bidi="ar-SA"/>
              </w:rPr>
            </w:pPr>
          </w:p>
        </w:tc>
        <w:tc>
          <w:tcPr>
            <w:tcW w:w="1973" w:type="dxa"/>
            <w:gridSpan w:val="2"/>
          </w:tcPr>
          <w:p w14:paraId="13EA5FBE" w14:textId="77777777" w:rsidR="002A16F7" w:rsidRPr="00AE724F" w:rsidRDefault="002A16F7" w:rsidP="00852344">
            <w:pPr>
              <w:pStyle w:val="FSTableText"/>
              <w:jc w:val="center"/>
              <w:rPr>
                <w:sz w:val="18"/>
                <w:szCs w:val="18"/>
                <w:lang w:bidi="ar-SA"/>
              </w:rPr>
            </w:pPr>
            <w:r w:rsidRPr="00AE724F">
              <w:rPr>
                <w:sz w:val="18"/>
                <w:szCs w:val="18"/>
                <w:lang w:bidi="ar-SA"/>
              </w:rPr>
              <w:t>0.10–0.18</w:t>
            </w:r>
          </w:p>
          <w:p w14:paraId="2167BAF7"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(avocado: 0.51)</w:t>
            </w:r>
          </w:p>
        </w:tc>
      </w:tr>
      <w:tr w:rsidR="002A16F7" w:rsidRPr="0049774A" w14:paraId="3644BC6B" w14:textId="77777777" w:rsidTr="00AD2928">
        <w:trPr>
          <w:cantSplit/>
        </w:trPr>
        <w:tc>
          <w:tcPr>
            <w:tcW w:w="1357" w:type="dxa"/>
            <w:vMerge/>
          </w:tcPr>
          <w:p w14:paraId="756421A4" w14:textId="77777777" w:rsidR="002A16F7" w:rsidRPr="00AE724F" w:rsidRDefault="002A16F7" w:rsidP="00852344">
            <w:pPr>
              <w:pStyle w:val="FSTableText"/>
              <w:rPr>
                <w:sz w:val="18"/>
                <w:szCs w:val="18"/>
                <w:lang w:bidi="ar-SA"/>
              </w:rPr>
            </w:pPr>
          </w:p>
        </w:tc>
        <w:tc>
          <w:tcPr>
            <w:tcW w:w="1473" w:type="dxa"/>
            <w:vMerge/>
          </w:tcPr>
          <w:p w14:paraId="1D6B9820" w14:textId="77777777" w:rsidR="002A16F7" w:rsidRPr="00AE724F" w:rsidRDefault="002A16F7" w:rsidP="00852344">
            <w:pPr>
              <w:pStyle w:val="FSTableText"/>
              <w:rPr>
                <w:sz w:val="18"/>
                <w:szCs w:val="18"/>
                <w:lang w:bidi="ar-SA"/>
              </w:rPr>
            </w:pPr>
          </w:p>
        </w:tc>
        <w:tc>
          <w:tcPr>
            <w:tcW w:w="2977" w:type="dxa"/>
          </w:tcPr>
          <w:p w14:paraId="43B7CDBB" w14:textId="77777777" w:rsidR="002A16F7" w:rsidRPr="00AE724F" w:rsidRDefault="002A16F7" w:rsidP="00852344">
            <w:pPr>
              <w:pStyle w:val="FSTableText"/>
              <w:rPr>
                <w:sz w:val="18"/>
                <w:szCs w:val="18"/>
                <w:lang w:bidi="ar-SA"/>
              </w:rPr>
            </w:pPr>
            <w:r w:rsidRPr="00AE724F">
              <w:rPr>
                <w:sz w:val="18"/>
                <w:szCs w:val="18"/>
                <w:lang w:bidi="ar-SA"/>
              </w:rPr>
              <w:t>Leafy products and vegetables</w:t>
            </w:r>
          </w:p>
        </w:tc>
        <w:tc>
          <w:tcPr>
            <w:tcW w:w="1280" w:type="dxa"/>
          </w:tcPr>
          <w:p w14:paraId="7D5C4B0F"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58B86D44"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0.01–0.31</w:t>
            </w:r>
          </w:p>
        </w:tc>
      </w:tr>
      <w:tr w:rsidR="002A16F7" w:rsidRPr="0049774A" w14:paraId="5CDDBF47" w14:textId="77777777" w:rsidTr="00AD2928">
        <w:trPr>
          <w:cantSplit/>
        </w:trPr>
        <w:tc>
          <w:tcPr>
            <w:tcW w:w="1357" w:type="dxa"/>
            <w:vMerge/>
          </w:tcPr>
          <w:p w14:paraId="05FD323C" w14:textId="77777777" w:rsidR="002A16F7" w:rsidRPr="00AE724F" w:rsidRDefault="002A16F7" w:rsidP="00852344">
            <w:pPr>
              <w:pStyle w:val="FSTableText"/>
              <w:rPr>
                <w:sz w:val="18"/>
                <w:szCs w:val="18"/>
                <w:lang w:bidi="ar-SA"/>
              </w:rPr>
            </w:pPr>
          </w:p>
        </w:tc>
        <w:tc>
          <w:tcPr>
            <w:tcW w:w="1473" w:type="dxa"/>
            <w:vMerge/>
          </w:tcPr>
          <w:p w14:paraId="5D7CE7B6" w14:textId="77777777" w:rsidR="002A16F7" w:rsidRPr="00AE724F" w:rsidRDefault="002A16F7" w:rsidP="00852344">
            <w:pPr>
              <w:pStyle w:val="FSTableText"/>
              <w:rPr>
                <w:sz w:val="18"/>
                <w:szCs w:val="18"/>
                <w:lang w:bidi="ar-SA"/>
              </w:rPr>
            </w:pPr>
          </w:p>
        </w:tc>
        <w:tc>
          <w:tcPr>
            <w:tcW w:w="2977" w:type="dxa"/>
          </w:tcPr>
          <w:p w14:paraId="1BD208A3" w14:textId="77777777" w:rsidR="002A16F7" w:rsidRPr="00AE724F" w:rsidRDefault="002A16F7" w:rsidP="00852344">
            <w:pPr>
              <w:pStyle w:val="FSTableText"/>
              <w:rPr>
                <w:sz w:val="18"/>
                <w:szCs w:val="18"/>
                <w:lang w:bidi="ar-SA"/>
              </w:rPr>
            </w:pPr>
            <w:r w:rsidRPr="00AE724F">
              <w:rPr>
                <w:sz w:val="18"/>
                <w:szCs w:val="18"/>
                <w:lang w:bidi="ar-SA"/>
              </w:rPr>
              <w:t>Nuts</w:t>
            </w:r>
          </w:p>
        </w:tc>
        <w:tc>
          <w:tcPr>
            <w:tcW w:w="1280" w:type="dxa"/>
          </w:tcPr>
          <w:p w14:paraId="63A20EAF"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5B1A35A0" w14:textId="77777777" w:rsidR="002A16F7" w:rsidRPr="00AE724F" w:rsidRDefault="002A16F7" w:rsidP="00852344">
            <w:pPr>
              <w:pStyle w:val="FSTableText"/>
              <w:jc w:val="center"/>
              <w:rPr>
                <w:sz w:val="18"/>
                <w:szCs w:val="18"/>
                <w:lang w:bidi="ar-SA"/>
              </w:rPr>
            </w:pPr>
            <w:r w:rsidRPr="00AE724F">
              <w:rPr>
                <w:sz w:val="18"/>
                <w:szCs w:val="18"/>
                <w:lang w:bidi="ar-SA"/>
              </w:rPr>
              <w:t>0.63–3.22</w:t>
            </w:r>
          </w:p>
          <w:p w14:paraId="1788241A"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(Brazil nut: 1.97–6.34)</w:t>
            </w:r>
          </w:p>
        </w:tc>
      </w:tr>
    </w:tbl>
    <w:p w14:paraId="41FFEBB9" w14:textId="3A43D12C" w:rsidR="002A16F7" w:rsidRPr="0049774A" w:rsidRDefault="002A16F7" w:rsidP="001646CE">
      <w:pPr>
        <w:ind w:left="142" w:hanging="142"/>
        <w:rPr>
          <w:rFonts w:cs="Arial"/>
          <w:sz w:val="18"/>
          <w:szCs w:val="18"/>
        </w:rPr>
      </w:pPr>
      <w:r w:rsidRPr="0049774A">
        <w:rPr>
          <w:rFonts w:cs="Arial"/>
          <w:sz w:val="18"/>
          <w:szCs w:val="18"/>
          <w:vertAlign w:val="superscript"/>
        </w:rPr>
        <w:t>1</w:t>
      </w:r>
      <w:r>
        <w:rPr>
          <w:rFonts w:cs="Arial"/>
          <w:sz w:val="18"/>
          <w:szCs w:val="18"/>
          <w:vertAlign w:val="superscript"/>
        </w:rPr>
        <w:t xml:space="preserve"> </w:t>
      </w:r>
      <w:r w:rsidRPr="0049774A">
        <w:rPr>
          <w:rFonts w:cs="Arial"/>
          <w:sz w:val="18"/>
          <w:szCs w:val="18"/>
        </w:rPr>
        <w:t xml:space="preserve">Phytate content derived from the isolate only (not total phytate). </w:t>
      </w:r>
      <w:r w:rsidR="0077254F">
        <w:rPr>
          <w:rFonts w:cs="Arial"/>
          <w:sz w:val="18"/>
          <w:szCs w:val="18"/>
        </w:rPr>
        <w:t>Calculated u</w:t>
      </w:r>
      <w:r w:rsidRPr="0049774A">
        <w:rPr>
          <w:rFonts w:cs="Arial"/>
          <w:sz w:val="18"/>
          <w:szCs w:val="18"/>
        </w:rPr>
        <w:t xml:space="preserve">sing the maximum phytate concentration for rapeseed protein isolate (1.5% w/w) from DSM’s proposed phytate specification, at the </w:t>
      </w:r>
      <w:r w:rsidR="000C0D96">
        <w:rPr>
          <w:rFonts w:cs="Arial"/>
          <w:sz w:val="18"/>
          <w:szCs w:val="18"/>
        </w:rPr>
        <w:t>typical</w:t>
      </w:r>
      <w:r w:rsidR="000C0D96" w:rsidRPr="0049774A">
        <w:rPr>
          <w:rFonts w:cs="Arial"/>
          <w:sz w:val="18"/>
          <w:szCs w:val="18"/>
        </w:rPr>
        <w:t xml:space="preserve"> </w:t>
      </w:r>
      <w:r w:rsidRPr="0049774A">
        <w:rPr>
          <w:rFonts w:cs="Arial"/>
          <w:sz w:val="18"/>
          <w:szCs w:val="18"/>
        </w:rPr>
        <w:t xml:space="preserve">use level proposed by </w:t>
      </w:r>
      <w:r w:rsidR="00C348AE">
        <w:rPr>
          <w:rFonts w:cs="Arial"/>
          <w:sz w:val="18"/>
          <w:szCs w:val="18"/>
        </w:rPr>
        <w:t>the applicant</w:t>
      </w:r>
      <w:r w:rsidR="00C348AE" w:rsidRPr="0049774A">
        <w:rPr>
          <w:rFonts w:cs="Arial"/>
          <w:sz w:val="18"/>
          <w:szCs w:val="18"/>
        </w:rPr>
        <w:t xml:space="preserve"> </w:t>
      </w:r>
      <w:r w:rsidRPr="0049774A">
        <w:rPr>
          <w:rFonts w:cs="Arial"/>
          <w:sz w:val="18"/>
          <w:szCs w:val="18"/>
        </w:rPr>
        <w:t>for CanolaPRO.</w:t>
      </w:r>
    </w:p>
    <w:p w14:paraId="1202E563" w14:textId="11EB011C" w:rsidR="002A16F7" w:rsidRDefault="002A16F7" w:rsidP="001646CE">
      <w:pPr>
        <w:ind w:left="142" w:hanging="142"/>
        <w:rPr>
          <w:rFonts w:cs="Arial"/>
          <w:sz w:val="18"/>
          <w:szCs w:val="18"/>
        </w:rPr>
      </w:pPr>
      <w:r w:rsidRPr="0049774A">
        <w:rPr>
          <w:rFonts w:cs="Arial"/>
          <w:sz w:val="18"/>
          <w:szCs w:val="18"/>
          <w:vertAlign w:val="superscript"/>
        </w:rPr>
        <w:t>2</w:t>
      </w:r>
      <w:r>
        <w:rPr>
          <w:rFonts w:cs="Arial"/>
          <w:sz w:val="18"/>
          <w:szCs w:val="18"/>
          <w:vertAlign w:val="superscript"/>
        </w:rPr>
        <w:t xml:space="preserve"> </w:t>
      </w:r>
      <w:r w:rsidRPr="0049774A">
        <w:rPr>
          <w:rFonts w:cs="Arial"/>
          <w:sz w:val="18"/>
          <w:szCs w:val="18"/>
        </w:rPr>
        <w:t>Phytate content derived from the isolate only (not total phytate). Using the highest phytate concentration reported for a rapeseed protein isolate (3.34% w/w</w:t>
      </w:r>
      <w:r w:rsidRPr="008324E4">
        <w:rPr>
          <w:rFonts w:cs="Arial"/>
          <w:sz w:val="18"/>
          <w:szCs w:val="18"/>
        </w:rPr>
        <w:t>, Supertein</w:t>
      </w:r>
      <w:r w:rsidRPr="0049774A">
        <w:rPr>
          <w:rFonts w:cs="Arial"/>
          <w:sz w:val="18"/>
          <w:szCs w:val="18"/>
        </w:rPr>
        <w:t xml:space="preserve">), at the </w:t>
      </w:r>
      <w:r w:rsidR="000C0D96">
        <w:rPr>
          <w:rFonts w:cs="Arial"/>
          <w:sz w:val="18"/>
          <w:szCs w:val="18"/>
        </w:rPr>
        <w:t>typical</w:t>
      </w:r>
      <w:r w:rsidR="000C0D96" w:rsidRPr="0049774A">
        <w:rPr>
          <w:rFonts w:cs="Arial"/>
          <w:sz w:val="18"/>
          <w:szCs w:val="18"/>
        </w:rPr>
        <w:t xml:space="preserve"> </w:t>
      </w:r>
      <w:r w:rsidRPr="0049774A">
        <w:rPr>
          <w:rFonts w:cs="Arial"/>
          <w:sz w:val="18"/>
          <w:szCs w:val="18"/>
        </w:rPr>
        <w:t>use level proposed by DSM for CanolaPRO.</w:t>
      </w:r>
    </w:p>
    <w:p w14:paraId="07C9F5CA" w14:textId="60D57A03" w:rsidR="003B0D63" w:rsidRPr="003B0D63" w:rsidRDefault="002A16F7" w:rsidP="001646CE">
      <w:pPr>
        <w:ind w:left="142" w:hanging="142"/>
        <w:rPr>
          <w:rFonts w:cs="Arial"/>
          <w:sz w:val="18"/>
          <w:szCs w:val="18"/>
        </w:rPr>
      </w:pPr>
      <w:r w:rsidRPr="00F9389F">
        <w:rPr>
          <w:rFonts w:cs="Arial"/>
          <w:sz w:val="18"/>
          <w:szCs w:val="18"/>
          <w:vertAlign w:val="superscript"/>
        </w:rPr>
        <w:t>3</w:t>
      </w:r>
      <w:r w:rsidR="003B0D63">
        <w:rPr>
          <w:rFonts w:cs="Arial"/>
          <w:sz w:val="18"/>
          <w:szCs w:val="18"/>
        </w:rPr>
        <w:t xml:space="preserve"> Where the typical use level proposed by </w:t>
      </w:r>
      <w:r w:rsidR="000C0D96">
        <w:rPr>
          <w:rFonts w:cs="Arial"/>
          <w:sz w:val="18"/>
          <w:szCs w:val="18"/>
        </w:rPr>
        <w:t>DSM</w:t>
      </w:r>
      <w:r w:rsidR="003B0D63">
        <w:rPr>
          <w:rFonts w:cs="Arial"/>
          <w:sz w:val="18"/>
          <w:szCs w:val="18"/>
        </w:rPr>
        <w:t xml:space="preserve"> is a range, the highest value has been used.</w:t>
      </w:r>
    </w:p>
    <w:p w14:paraId="1426BDE4" w14:textId="4865B380" w:rsidR="002A16F7" w:rsidRDefault="003B0D63" w:rsidP="001646CE">
      <w:pPr>
        <w:ind w:left="142" w:hanging="142"/>
        <w:rPr>
          <w:rFonts w:cs="Arial"/>
          <w:sz w:val="18"/>
          <w:szCs w:val="18"/>
        </w:rPr>
      </w:pPr>
      <w:r>
        <w:rPr>
          <w:rFonts w:cs="Arial"/>
          <w:sz w:val="18"/>
          <w:szCs w:val="18"/>
          <w:vertAlign w:val="superscript"/>
        </w:rPr>
        <w:t>4</w:t>
      </w:r>
      <w:r w:rsidR="002A16F7">
        <w:rPr>
          <w:rFonts w:cs="Arial"/>
          <w:sz w:val="18"/>
          <w:szCs w:val="18"/>
          <w:vertAlign w:val="superscript"/>
        </w:rPr>
        <w:t xml:space="preserve"> </w:t>
      </w:r>
      <w:r w:rsidR="00852416">
        <w:rPr>
          <w:rFonts w:cs="Arial"/>
          <w:sz w:val="18"/>
          <w:szCs w:val="18"/>
        </w:rPr>
        <w:t>P</w:t>
      </w:r>
      <w:r w:rsidR="002A16F7">
        <w:rPr>
          <w:rFonts w:cs="Arial"/>
          <w:sz w:val="18"/>
          <w:szCs w:val="18"/>
        </w:rPr>
        <w:t>hytate or phytic acid</w:t>
      </w:r>
      <w:r w:rsidR="00852416">
        <w:rPr>
          <w:rFonts w:cs="Arial"/>
          <w:sz w:val="18"/>
          <w:szCs w:val="18"/>
        </w:rPr>
        <w:t xml:space="preserve"> content is reported</w:t>
      </w:r>
      <w:r w:rsidR="002A16F7">
        <w:rPr>
          <w:rFonts w:cs="Arial"/>
          <w:sz w:val="18"/>
          <w:szCs w:val="18"/>
        </w:rPr>
        <w:t>, depending on the data published.</w:t>
      </w:r>
    </w:p>
    <w:p w14:paraId="57F048BB" w14:textId="42BD0F15" w:rsidR="000C0D96" w:rsidRPr="0049774A" w:rsidRDefault="000C0D96" w:rsidP="001646CE">
      <w:pPr>
        <w:ind w:left="142" w:hanging="142"/>
        <w:rPr>
          <w:rFonts w:cs="Arial"/>
          <w:sz w:val="18"/>
          <w:szCs w:val="18"/>
        </w:rPr>
      </w:pPr>
      <w:r>
        <w:rPr>
          <w:rFonts w:cs="Arial"/>
          <w:sz w:val="18"/>
          <w:szCs w:val="18"/>
          <w:vertAlign w:val="superscript"/>
        </w:rPr>
        <w:t xml:space="preserve">5 </w:t>
      </w:r>
      <w:r>
        <w:rPr>
          <w:rFonts w:cs="Arial"/>
          <w:sz w:val="18"/>
          <w:szCs w:val="18"/>
        </w:rPr>
        <w:t xml:space="preserve">The </w:t>
      </w:r>
      <w:r w:rsidR="00FA0210">
        <w:rPr>
          <w:rFonts w:cs="Arial"/>
          <w:sz w:val="18"/>
          <w:szCs w:val="18"/>
        </w:rPr>
        <w:t xml:space="preserve">proposed </w:t>
      </w:r>
      <w:r>
        <w:rPr>
          <w:rFonts w:cs="Arial"/>
          <w:sz w:val="18"/>
          <w:szCs w:val="18"/>
        </w:rPr>
        <w:t>maximum use level</w:t>
      </w:r>
      <w:r w:rsidR="00511B83">
        <w:rPr>
          <w:rFonts w:cs="Arial"/>
          <w:sz w:val="18"/>
          <w:szCs w:val="18"/>
        </w:rPr>
        <w:t>s</w:t>
      </w:r>
      <w:r w:rsidR="00FA0210">
        <w:rPr>
          <w:rFonts w:cs="Arial"/>
          <w:sz w:val="18"/>
          <w:szCs w:val="18"/>
        </w:rPr>
        <w:t xml:space="preserve"> of rapeseed protein isolate</w:t>
      </w:r>
      <w:r>
        <w:rPr>
          <w:rFonts w:cs="Arial"/>
          <w:sz w:val="18"/>
          <w:szCs w:val="18"/>
        </w:rPr>
        <w:t xml:space="preserve"> for </w:t>
      </w:r>
      <w:r w:rsidR="00511B83">
        <w:rPr>
          <w:rFonts w:cs="Arial"/>
          <w:sz w:val="18"/>
          <w:szCs w:val="18"/>
        </w:rPr>
        <w:t>‘</w:t>
      </w:r>
      <w:r>
        <w:rPr>
          <w:rFonts w:cs="Arial"/>
          <w:sz w:val="18"/>
          <w:szCs w:val="18"/>
        </w:rPr>
        <w:t>Mixed foods’</w:t>
      </w:r>
      <w:r w:rsidR="00511B83">
        <w:rPr>
          <w:rFonts w:cs="Arial"/>
          <w:sz w:val="18"/>
          <w:szCs w:val="18"/>
        </w:rPr>
        <w:t xml:space="preserve"> (10%)</w:t>
      </w:r>
      <w:r>
        <w:rPr>
          <w:rFonts w:cs="Arial"/>
          <w:sz w:val="18"/>
          <w:szCs w:val="18"/>
        </w:rPr>
        <w:t>, ‘Meat analogues’</w:t>
      </w:r>
      <w:r w:rsidR="00511B83">
        <w:rPr>
          <w:rFonts w:cs="Arial"/>
          <w:sz w:val="18"/>
          <w:szCs w:val="18"/>
        </w:rPr>
        <w:t xml:space="preserve"> (30%)</w:t>
      </w:r>
      <w:r>
        <w:rPr>
          <w:rFonts w:cs="Arial"/>
          <w:sz w:val="18"/>
          <w:szCs w:val="18"/>
        </w:rPr>
        <w:t xml:space="preserve"> and ‘Protein based products’</w:t>
      </w:r>
      <w:r w:rsidR="00511B83">
        <w:rPr>
          <w:rFonts w:cs="Arial"/>
          <w:sz w:val="18"/>
          <w:szCs w:val="18"/>
        </w:rPr>
        <w:t xml:space="preserve"> (30%), are higher than the</w:t>
      </w:r>
      <w:r w:rsidR="00FA0210">
        <w:rPr>
          <w:rFonts w:cs="Arial"/>
          <w:sz w:val="18"/>
          <w:szCs w:val="18"/>
        </w:rPr>
        <w:t xml:space="preserve"> proposed</w:t>
      </w:r>
      <w:r w:rsidR="00511B83">
        <w:rPr>
          <w:rFonts w:cs="Arial"/>
          <w:sz w:val="18"/>
          <w:szCs w:val="18"/>
        </w:rPr>
        <w:t xml:space="preserve"> typical use level</w:t>
      </w:r>
      <w:r w:rsidR="0011267A">
        <w:rPr>
          <w:rFonts w:cs="Arial"/>
          <w:sz w:val="18"/>
          <w:szCs w:val="18"/>
        </w:rPr>
        <w:t>s</w:t>
      </w:r>
      <w:r w:rsidR="00511B83">
        <w:rPr>
          <w:rFonts w:cs="Arial"/>
          <w:sz w:val="18"/>
          <w:szCs w:val="18"/>
        </w:rPr>
        <w:t>.</w:t>
      </w:r>
      <w:r w:rsidR="001D6BDB">
        <w:rPr>
          <w:rFonts w:cs="Arial"/>
          <w:sz w:val="18"/>
          <w:szCs w:val="18"/>
        </w:rPr>
        <w:t xml:space="preserve"> The phytate content using the maximum use levels and a</w:t>
      </w:r>
      <w:r w:rsidR="001D6BDB" w:rsidRPr="0049774A">
        <w:rPr>
          <w:rFonts w:cs="Arial"/>
          <w:sz w:val="18"/>
          <w:szCs w:val="18"/>
        </w:rPr>
        <w:t xml:space="preserve"> phytate concentration </w:t>
      </w:r>
      <w:r w:rsidR="001D6BDB">
        <w:rPr>
          <w:rFonts w:cs="Arial"/>
          <w:sz w:val="18"/>
          <w:szCs w:val="18"/>
        </w:rPr>
        <w:t xml:space="preserve">of </w:t>
      </w:r>
      <w:r w:rsidR="001D6BDB" w:rsidRPr="0049774A">
        <w:rPr>
          <w:rFonts w:cs="Arial"/>
          <w:sz w:val="18"/>
          <w:szCs w:val="18"/>
        </w:rPr>
        <w:t>1.5% w/w</w:t>
      </w:r>
      <w:r w:rsidR="001D6BDB">
        <w:rPr>
          <w:rFonts w:cs="Arial"/>
          <w:sz w:val="18"/>
          <w:szCs w:val="18"/>
        </w:rPr>
        <w:t xml:space="preserve"> is: </w:t>
      </w:r>
      <w:r w:rsidR="00FA0210">
        <w:rPr>
          <w:rFonts w:cs="Arial"/>
          <w:sz w:val="18"/>
          <w:szCs w:val="18"/>
        </w:rPr>
        <w:t>0.15% (</w:t>
      </w:r>
      <w:r w:rsidR="001D6BDB">
        <w:rPr>
          <w:rFonts w:cs="Arial"/>
          <w:sz w:val="18"/>
          <w:szCs w:val="18"/>
        </w:rPr>
        <w:t>‘Mixed foods’</w:t>
      </w:r>
      <w:r w:rsidR="00FA0210">
        <w:rPr>
          <w:rFonts w:cs="Arial"/>
          <w:sz w:val="18"/>
          <w:szCs w:val="18"/>
        </w:rPr>
        <w:t>); 0.45% (</w:t>
      </w:r>
      <w:r w:rsidR="001D6BDB">
        <w:rPr>
          <w:rFonts w:cs="Arial"/>
          <w:sz w:val="18"/>
          <w:szCs w:val="18"/>
        </w:rPr>
        <w:t>‘Meat analogues’</w:t>
      </w:r>
      <w:r w:rsidR="00FA0210">
        <w:rPr>
          <w:rFonts w:cs="Arial"/>
          <w:sz w:val="18"/>
          <w:szCs w:val="18"/>
        </w:rPr>
        <w:t>);</w:t>
      </w:r>
      <w:r w:rsidR="001D6BDB">
        <w:rPr>
          <w:rFonts w:cs="Arial"/>
          <w:sz w:val="18"/>
          <w:szCs w:val="18"/>
        </w:rPr>
        <w:t xml:space="preserve"> and</w:t>
      </w:r>
      <w:r w:rsidR="00FA0210">
        <w:rPr>
          <w:rFonts w:cs="Arial"/>
          <w:sz w:val="18"/>
          <w:szCs w:val="18"/>
        </w:rPr>
        <w:t>,</w:t>
      </w:r>
      <w:r w:rsidR="001D6BDB">
        <w:rPr>
          <w:rFonts w:cs="Arial"/>
          <w:sz w:val="18"/>
          <w:szCs w:val="18"/>
        </w:rPr>
        <w:t xml:space="preserve"> </w:t>
      </w:r>
      <w:r w:rsidR="00FA0210">
        <w:rPr>
          <w:rFonts w:cs="Arial"/>
          <w:sz w:val="18"/>
          <w:szCs w:val="18"/>
        </w:rPr>
        <w:t>0.45% (</w:t>
      </w:r>
      <w:r w:rsidR="001D6BDB">
        <w:rPr>
          <w:rFonts w:cs="Arial"/>
          <w:sz w:val="18"/>
          <w:szCs w:val="18"/>
        </w:rPr>
        <w:t>‘Protein based products’</w:t>
      </w:r>
      <w:r w:rsidR="00FA0210">
        <w:rPr>
          <w:rFonts w:cs="Arial"/>
          <w:sz w:val="18"/>
          <w:szCs w:val="18"/>
        </w:rPr>
        <w:t>)</w:t>
      </w:r>
      <w:r w:rsidR="001D6BDB">
        <w:rPr>
          <w:rFonts w:cs="Arial"/>
          <w:sz w:val="18"/>
          <w:szCs w:val="18"/>
        </w:rPr>
        <w:t>. The phytate content using the maximum use levels and a</w:t>
      </w:r>
      <w:r w:rsidR="001D6BDB" w:rsidRPr="0049774A">
        <w:rPr>
          <w:rFonts w:cs="Arial"/>
          <w:sz w:val="18"/>
          <w:szCs w:val="18"/>
        </w:rPr>
        <w:t xml:space="preserve"> phytate concentration </w:t>
      </w:r>
      <w:r w:rsidR="001D6BDB">
        <w:rPr>
          <w:rFonts w:cs="Arial"/>
          <w:sz w:val="18"/>
          <w:szCs w:val="18"/>
        </w:rPr>
        <w:t>of 3.34</w:t>
      </w:r>
      <w:r w:rsidR="001D6BDB" w:rsidRPr="0049774A">
        <w:rPr>
          <w:rFonts w:cs="Arial"/>
          <w:sz w:val="18"/>
          <w:szCs w:val="18"/>
        </w:rPr>
        <w:t>% w/w</w:t>
      </w:r>
      <w:r w:rsidR="001D6BDB">
        <w:rPr>
          <w:rFonts w:cs="Arial"/>
          <w:sz w:val="18"/>
          <w:szCs w:val="18"/>
        </w:rPr>
        <w:t xml:space="preserve"> is:</w:t>
      </w:r>
      <w:r w:rsidR="00FA0210">
        <w:rPr>
          <w:rFonts w:cs="Arial"/>
          <w:sz w:val="18"/>
          <w:szCs w:val="18"/>
        </w:rPr>
        <w:t xml:space="preserve"> 0.33% (</w:t>
      </w:r>
      <w:r w:rsidR="001D6BDB">
        <w:rPr>
          <w:rFonts w:cs="Arial"/>
          <w:sz w:val="18"/>
          <w:szCs w:val="18"/>
        </w:rPr>
        <w:t>‘Mixed foods’)</w:t>
      </w:r>
      <w:r w:rsidR="00FA0210">
        <w:rPr>
          <w:rFonts w:cs="Arial"/>
          <w:sz w:val="18"/>
          <w:szCs w:val="18"/>
        </w:rPr>
        <w:t>; 1.0% (</w:t>
      </w:r>
      <w:r w:rsidR="001D6BDB">
        <w:rPr>
          <w:rFonts w:cs="Arial"/>
          <w:sz w:val="18"/>
          <w:szCs w:val="18"/>
        </w:rPr>
        <w:t>‘Meat analogues’</w:t>
      </w:r>
      <w:r w:rsidR="00FA0210">
        <w:rPr>
          <w:rFonts w:cs="Arial"/>
          <w:sz w:val="18"/>
          <w:szCs w:val="18"/>
        </w:rPr>
        <w:t>);</w:t>
      </w:r>
      <w:r w:rsidR="001D6BDB">
        <w:rPr>
          <w:rFonts w:cs="Arial"/>
          <w:sz w:val="18"/>
          <w:szCs w:val="18"/>
        </w:rPr>
        <w:t xml:space="preserve"> and</w:t>
      </w:r>
      <w:r w:rsidR="00FA0210">
        <w:rPr>
          <w:rFonts w:cs="Arial"/>
          <w:sz w:val="18"/>
          <w:szCs w:val="18"/>
        </w:rPr>
        <w:t>, 1.0% (</w:t>
      </w:r>
      <w:r w:rsidR="001D6BDB">
        <w:rPr>
          <w:rFonts w:cs="Arial"/>
          <w:sz w:val="18"/>
          <w:szCs w:val="18"/>
        </w:rPr>
        <w:t>‘Protein based products’).</w:t>
      </w:r>
    </w:p>
    <w:p w14:paraId="5FD86391" w14:textId="77777777" w:rsidR="002A16F7" w:rsidRDefault="002A16F7" w:rsidP="002A16F7"/>
    <w:p w14:paraId="7A3515EB" w14:textId="7D8A47F0" w:rsidR="00FD2B91" w:rsidRDefault="00B565C0" w:rsidP="00AE724F">
      <w:pPr>
        <w:pStyle w:val="Heading5"/>
        <w:keepLines/>
      </w:pPr>
      <w:r>
        <w:t>4.4.2.3.1</w:t>
      </w:r>
      <w:r w:rsidR="005021AA">
        <w:tab/>
      </w:r>
      <w:r w:rsidR="002A16F7">
        <w:t>Phytate from products containing rapeseed protein isolate versus dietary sources without protein isolates</w:t>
      </w:r>
    </w:p>
    <w:p w14:paraId="0B709123" w14:textId="2DB85134" w:rsidR="002A16F7" w:rsidRDefault="002A16F7" w:rsidP="00AE724F">
      <w:pPr>
        <w:keepNext/>
        <w:keepLines/>
      </w:pPr>
      <w:r>
        <w:t xml:space="preserve">A direct comparison of the phytate concentration of products proposed to contain rapeseed protein isolate and dietary sources </w:t>
      </w:r>
      <w:r w:rsidRPr="005A022F">
        <w:t xml:space="preserve">without </w:t>
      </w:r>
      <w:r w:rsidR="00F20DEC">
        <w:t>added rapeseed</w:t>
      </w:r>
      <w:r w:rsidR="00F20DEC" w:rsidRPr="005A022F">
        <w:t xml:space="preserve"> </w:t>
      </w:r>
      <w:r w:rsidRPr="005A022F">
        <w:t xml:space="preserve">protein isolate is most relevant when using similar food categories. This is possible for the </w:t>
      </w:r>
      <w:r>
        <w:t>breads and ready-to-eat cereals group</w:t>
      </w:r>
      <w:r w:rsidR="00D440C7">
        <w:t>s</w:t>
      </w:r>
      <w:r>
        <w:t xml:space="preserve">. Phytate concentration is 0.03–1.83% for most breads and ready-to-eat cereal products (Table </w:t>
      </w:r>
      <w:r w:rsidR="00C348AE">
        <w:t>4</w:t>
      </w:r>
      <w:r>
        <w:t>.4.2.1). For bakery and cereal products using rapeseed protein isolate, the phytate concentration derived from the isolate alone could be up to 0.075–0.17% (the variation reflects the range of isolates’ phytate content). The total phytate content will be higher than this range, however, since non-isolate components of the product will also contribute phytate. The expected total phytate content is not known but the range could be 0.1–2% (the sum of 0.03–1.83% and 0.075–0.17%) which represents a relatively small change in phytate concentration. This reflects a ‘worst-case scenario’ that assumes there is an addition, with no substitution, of phytate to the original product. T</w:t>
      </w:r>
      <w:r w:rsidRPr="00BF1C75">
        <w:t xml:space="preserve">he phytate concentration of </w:t>
      </w:r>
      <w:r>
        <w:t>breads and ready-to-eat cereals</w:t>
      </w:r>
      <w:r w:rsidRPr="00BF1C75">
        <w:t xml:space="preserve"> using rapeseed protein isolate </w:t>
      </w:r>
      <w:r>
        <w:t>is expected to be lower than, or in line with,</w:t>
      </w:r>
      <w:r w:rsidRPr="00BF1C75">
        <w:t xml:space="preserve"> </w:t>
      </w:r>
      <w:r>
        <w:t xml:space="preserve">that of </w:t>
      </w:r>
      <w:r w:rsidRPr="00BF1C75">
        <w:t>many current sources</w:t>
      </w:r>
      <w:r>
        <w:t xml:space="preserve"> outlined in Table </w:t>
      </w:r>
      <w:r w:rsidR="00C348AE">
        <w:t>4</w:t>
      </w:r>
      <w:r>
        <w:t>.4.2.1</w:t>
      </w:r>
      <w:r w:rsidRPr="00BF1C75">
        <w:t xml:space="preserve">. </w:t>
      </w:r>
      <w:r>
        <w:t>A phytate content of up to 2% (reflecting the breads and ready-to-eat cereals groups containing the rapeseed protein is</w:t>
      </w:r>
      <w:r w:rsidR="00656A35">
        <w:t>olate)</w:t>
      </w:r>
      <w:r>
        <w:t xml:space="preserve"> does not exceed the upper phytate concentration of food categories with naturally high levels of phytate (e.g. whole beans, bean-based foods and nuts) or individual products (e.g. tofu: 2.9% and high bran ready-to-eat cereal: 3.</w:t>
      </w:r>
      <w:r w:rsidR="00697F14">
        <w:t>3</w:t>
      </w:r>
      <w:r>
        <w:t xml:space="preserve">%). The volume of breads and ready-to-eat cereals consumed by the </w:t>
      </w:r>
      <w:r w:rsidR="00C94E07">
        <w:t>Australia</w:t>
      </w:r>
      <w:r w:rsidR="00DF3845">
        <w:t>n</w:t>
      </w:r>
      <w:r w:rsidR="00C94E07">
        <w:t xml:space="preserve"> and New Zealand</w:t>
      </w:r>
      <w:r>
        <w:t xml:space="preserve"> population</w:t>
      </w:r>
      <w:r w:rsidR="00D440C7">
        <w:t>s</w:t>
      </w:r>
      <w:r>
        <w:t xml:space="preserve"> may, howeve</w:t>
      </w:r>
      <w:r w:rsidR="00F15D49">
        <w:t>r, differ to these other foods.</w:t>
      </w:r>
    </w:p>
    <w:p w14:paraId="4998A1A2" w14:textId="27FF005A" w:rsidR="00FD2B91" w:rsidRDefault="00B565C0" w:rsidP="00FD2B91">
      <w:pPr>
        <w:pStyle w:val="Heading5"/>
      </w:pPr>
      <w:r>
        <w:t>4.4.2.3.2</w:t>
      </w:r>
      <w:r w:rsidR="005021AA">
        <w:tab/>
      </w:r>
      <w:r w:rsidR="002A16F7">
        <w:t xml:space="preserve">Phytate from </w:t>
      </w:r>
      <w:r w:rsidR="006B7E55">
        <w:t xml:space="preserve">the applicant’s </w:t>
      </w:r>
      <w:r w:rsidR="002A16F7">
        <w:t xml:space="preserve">rapeseed protein isolate </w:t>
      </w:r>
      <w:r w:rsidR="006B7E55">
        <w:t xml:space="preserve">compared with </w:t>
      </w:r>
      <w:r w:rsidR="002A16F7">
        <w:t>other protein isolates</w:t>
      </w:r>
    </w:p>
    <w:p w14:paraId="42F76A23" w14:textId="7CA4B17A" w:rsidR="002A16F7" w:rsidRDefault="002A16F7" w:rsidP="002A16F7">
      <w:r>
        <w:t>The applica</w:t>
      </w:r>
      <w:r w:rsidR="009D4D0F">
        <w:t>tion</w:t>
      </w:r>
      <w:r>
        <w:t xml:space="preserve"> states that rapeseed protein isolate may be used </w:t>
      </w:r>
      <w:r w:rsidR="00322F4C">
        <w:t>to replace</w:t>
      </w:r>
      <w:r>
        <w:t xml:space="preserve"> </w:t>
      </w:r>
      <w:r w:rsidR="00D26045">
        <w:t xml:space="preserve">other </w:t>
      </w:r>
      <w:r>
        <w:t xml:space="preserve">protein </w:t>
      </w:r>
      <w:r w:rsidR="00D26045">
        <w:t>sources</w:t>
      </w:r>
      <w:r>
        <w:t>, such as soy, whey, or pea</w:t>
      </w:r>
      <w:r w:rsidR="00381CA5">
        <w:t>, including for use in new product development</w:t>
      </w:r>
      <w:r>
        <w:t>. The phytate content of soy protein isolates</w:t>
      </w:r>
      <w:r w:rsidR="00DC7412">
        <w:t>,</w:t>
      </w:r>
      <w:r w:rsidR="00DC7412" w:rsidRPr="00DC7412">
        <w:t xml:space="preserve"> which are the most widely used plant protein isolates</w:t>
      </w:r>
      <w:r w:rsidR="00DC7412">
        <w:t xml:space="preserve"> (</w:t>
      </w:r>
      <w:r w:rsidR="00B327CD">
        <w:t>Singh et al. 2008</w:t>
      </w:r>
      <w:r w:rsidR="00DC7412">
        <w:t>),</w:t>
      </w:r>
      <w:r w:rsidR="009E45FB">
        <w:t xml:space="preserve"> </w:t>
      </w:r>
      <w:r>
        <w:t xml:space="preserve">is presented in Table </w:t>
      </w:r>
      <w:r w:rsidR="00C348AE">
        <w:t>4</w:t>
      </w:r>
      <w:r>
        <w:t>.</w:t>
      </w:r>
      <w:r w:rsidR="00F62886">
        <w:t>5</w:t>
      </w:r>
      <w:r>
        <w:t>.</w:t>
      </w:r>
      <w:r w:rsidR="008D60E9">
        <w:t xml:space="preserve"> </w:t>
      </w:r>
      <w:r w:rsidR="00B20549">
        <w:t xml:space="preserve">Minimal </w:t>
      </w:r>
      <w:r w:rsidR="008D60E9">
        <w:t xml:space="preserve">information </w:t>
      </w:r>
      <w:r w:rsidR="00B20549">
        <w:t xml:space="preserve">was located </w:t>
      </w:r>
      <w:r w:rsidR="008D60E9">
        <w:t>on</w:t>
      </w:r>
      <w:r w:rsidR="008D60E9" w:rsidRPr="008D60E9">
        <w:t xml:space="preserve"> the phytate content of </w:t>
      </w:r>
      <w:r w:rsidR="00733CB2">
        <w:t>other</w:t>
      </w:r>
      <w:r w:rsidR="008D60E9" w:rsidRPr="008D60E9">
        <w:t xml:space="preserve"> protein isolate</w:t>
      </w:r>
      <w:r w:rsidR="008D60E9">
        <w:t>s</w:t>
      </w:r>
      <w:r w:rsidR="008D60E9" w:rsidRPr="008D60E9">
        <w:t>.</w:t>
      </w:r>
    </w:p>
    <w:p w14:paraId="28AFA831" w14:textId="77777777" w:rsidR="002A16F7" w:rsidRDefault="002A16F7" w:rsidP="002A16F7"/>
    <w:p w14:paraId="2F409B2A" w14:textId="3D98C6A6" w:rsidR="00400950" w:rsidRDefault="007D1AA1" w:rsidP="002A16F7">
      <w:r>
        <w:t>The r</w:t>
      </w:r>
      <w:r w:rsidR="008D60E9">
        <w:t xml:space="preserve">eported </w:t>
      </w:r>
      <w:r>
        <w:t xml:space="preserve">range of </w:t>
      </w:r>
      <w:r w:rsidR="008D60E9">
        <w:t xml:space="preserve">phytate </w:t>
      </w:r>
      <w:r>
        <w:t xml:space="preserve">levels </w:t>
      </w:r>
      <w:r w:rsidR="008D60E9">
        <w:t xml:space="preserve">in various rapeseed protein isolates </w:t>
      </w:r>
      <w:r>
        <w:t>(</w:t>
      </w:r>
      <w:r w:rsidR="008D60E9">
        <w:t xml:space="preserve">&lt;0.14% </w:t>
      </w:r>
      <w:r w:rsidR="00A72E61">
        <w:t>for</w:t>
      </w:r>
      <w:r w:rsidR="00A72E61" w:rsidRPr="00A72E61">
        <w:t xml:space="preserve"> </w:t>
      </w:r>
      <w:r w:rsidR="00202772">
        <w:t xml:space="preserve">CanolaPRO </w:t>
      </w:r>
      <w:r w:rsidR="008D60E9">
        <w:t>to 3.34%</w:t>
      </w:r>
      <w:r w:rsidR="00981324" w:rsidRPr="00981324">
        <w:t xml:space="preserve"> </w:t>
      </w:r>
      <w:r w:rsidR="00981324">
        <w:t xml:space="preserve">for </w:t>
      </w:r>
      <w:r w:rsidR="00981324" w:rsidRPr="00981324">
        <w:t>Supertein™</w:t>
      </w:r>
      <w:r>
        <w:t>)</w:t>
      </w:r>
      <w:r w:rsidR="008D60E9">
        <w:t xml:space="preserve"> is </w:t>
      </w:r>
      <w:r w:rsidR="002A16F7">
        <w:t xml:space="preserve">wider than </w:t>
      </w:r>
      <w:r w:rsidR="008D60E9">
        <w:t xml:space="preserve">that reported for </w:t>
      </w:r>
      <w:r w:rsidR="002A16F7">
        <w:t>soy protein isolate</w:t>
      </w:r>
      <w:r w:rsidR="009D4D0F">
        <w:t>s</w:t>
      </w:r>
      <w:r w:rsidR="002A16F7">
        <w:t xml:space="preserve">. </w:t>
      </w:r>
      <w:r w:rsidR="008D60E9" w:rsidRPr="00844BAD">
        <w:t>Honig</w:t>
      </w:r>
      <w:r w:rsidR="008D60E9">
        <w:t xml:space="preserve"> </w:t>
      </w:r>
      <w:r w:rsidR="0071622F" w:rsidRPr="0071622F">
        <w:t>et al.</w:t>
      </w:r>
      <w:r w:rsidR="008D60E9">
        <w:t xml:space="preserve"> (</w:t>
      </w:r>
      <w:r w:rsidR="008D60E9" w:rsidRPr="00844BAD">
        <w:t>1984</w:t>
      </w:r>
      <w:r w:rsidR="008D60E9">
        <w:t>) reported t</w:t>
      </w:r>
      <w:r w:rsidR="002A16F7">
        <w:t xml:space="preserve">he phytic acid content of commercial soy </w:t>
      </w:r>
      <w:r w:rsidR="002A16F7" w:rsidRPr="00844BAD">
        <w:t>protein isolate</w:t>
      </w:r>
      <w:r w:rsidR="009E45FB">
        <w:t>s</w:t>
      </w:r>
      <w:r w:rsidR="002A16F7" w:rsidRPr="00844BAD">
        <w:t xml:space="preserve"> to be 1.6</w:t>
      </w:r>
      <w:r w:rsidR="002A16F7">
        <w:t>–</w:t>
      </w:r>
      <w:r w:rsidR="002A16F7" w:rsidRPr="00844BAD">
        <w:t>2.0% before dialysis and 1.1</w:t>
      </w:r>
      <w:r w:rsidR="002A16F7">
        <w:t>–</w:t>
      </w:r>
      <w:r w:rsidR="002A16F7" w:rsidRPr="00844BAD">
        <w:t>1.8% after dialysis. Hurrell</w:t>
      </w:r>
      <w:r w:rsidR="002A16F7">
        <w:t xml:space="preserve"> </w:t>
      </w:r>
      <w:r w:rsidR="0071622F" w:rsidRPr="0071622F">
        <w:t>et al.</w:t>
      </w:r>
      <w:r w:rsidR="002A16F7" w:rsidRPr="00844BAD">
        <w:t xml:space="preserve"> (1992) report</w:t>
      </w:r>
      <w:r w:rsidR="008D60E9">
        <w:t>ed</w:t>
      </w:r>
      <w:r w:rsidR="002A16F7" w:rsidRPr="00844BAD">
        <w:t xml:space="preserve"> </w:t>
      </w:r>
      <w:r w:rsidR="002A16F7">
        <w:t>0.9–1.7% phytate</w:t>
      </w:r>
      <w:r w:rsidR="009D4D0F">
        <w:t xml:space="preserve"> in</w:t>
      </w:r>
      <w:r w:rsidR="002A16F7">
        <w:t xml:space="preserve"> </w:t>
      </w:r>
      <w:r w:rsidR="009E45FB">
        <w:t xml:space="preserve">commercial </w:t>
      </w:r>
      <w:r w:rsidR="009D4D0F">
        <w:t>soy protein isolate</w:t>
      </w:r>
      <w:r w:rsidR="009E45FB">
        <w:t>s</w:t>
      </w:r>
      <w:r w:rsidR="002A16F7">
        <w:t>.</w:t>
      </w:r>
      <w:r w:rsidR="002A16F7" w:rsidRPr="004E6363">
        <w:t xml:space="preserve"> </w:t>
      </w:r>
      <w:r w:rsidR="002A16F7">
        <w:t>Analyses done by others report between 1.5% and 1.</w:t>
      </w:r>
      <w:r w:rsidR="009E45FB">
        <w:t>7</w:t>
      </w:r>
      <w:r w:rsidR="00AB2A35">
        <w:t>% (D</w:t>
      </w:r>
      <w:r w:rsidR="002A16F7">
        <w:t>e</w:t>
      </w:r>
      <w:r w:rsidR="00AB2A35">
        <w:t xml:space="preserve"> </w:t>
      </w:r>
      <w:r w:rsidR="002A16F7">
        <w:t>Boland</w:t>
      </w:r>
      <w:r w:rsidR="00B826E9">
        <w:t xml:space="preserve"> </w:t>
      </w:r>
      <w:r w:rsidR="0071622F" w:rsidRPr="0071622F">
        <w:t>et al.</w:t>
      </w:r>
      <w:r w:rsidR="002A16F7">
        <w:t xml:space="preserve"> 1975; T</w:t>
      </w:r>
      <w:r w:rsidR="0000428D">
        <w:t xml:space="preserve">hompson and Erdman 1982; Naczk </w:t>
      </w:r>
      <w:r w:rsidR="0071622F" w:rsidRPr="0071622F">
        <w:t>et al.</w:t>
      </w:r>
      <w:r w:rsidR="0000428D">
        <w:t xml:space="preserve"> </w:t>
      </w:r>
      <w:r w:rsidR="002A16F7">
        <w:t xml:space="preserve">1986). Koletzko </w:t>
      </w:r>
      <w:r w:rsidR="0071622F" w:rsidRPr="0071622F">
        <w:t>et al.</w:t>
      </w:r>
      <w:r w:rsidR="002A16F7">
        <w:t xml:space="preserve"> (2006)</w:t>
      </w:r>
      <w:r w:rsidR="00080C51">
        <w:t xml:space="preserve"> quote </w:t>
      </w:r>
      <w:r w:rsidR="002A16F7">
        <w:t>a range of 1–2% but no</w:t>
      </w:r>
      <w:r w:rsidR="00700B53">
        <w:t xml:space="preserve"> source for this data is cited.</w:t>
      </w:r>
    </w:p>
    <w:p w14:paraId="14C02728" w14:textId="77777777" w:rsidR="00400950" w:rsidRDefault="00400950" w:rsidP="002A16F7"/>
    <w:p w14:paraId="75D433B8" w14:textId="112D272A" w:rsidR="002A16F7" w:rsidRDefault="002A16F7" w:rsidP="002A16F7">
      <w:r>
        <w:t xml:space="preserve">Assuming that rapeseed protein isolate were to replace, not add to, the existing total protein isolate intake, maintaining a maximum level of phytate </w:t>
      </w:r>
      <w:r w:rsidR="00823714">
        <w:t>similar to</w:t>
      </w:r>
      <w:r>
        <w:t xml:space="preserve"> the upper levels present in soy protein isolate</w:t>
      </w:r>
      <w:r w:rsidR="00176B76">
        <w:t>s</w:t>
      </w:r>
      <w:r>
        <w:t xml:space="preserve"> (1.5–1.7%) would </w:t>
      </w:r>
      <w:r w:rsidR="00981324">
        <w:t xml:space="preserve">minimise any </w:t>
      </w:r>
      <w:r>
        <w:t xml:space="preserve">risk of increased total phytate intake. Since </w:t>
      </w:r>
      <w:r w:rsidR="00823714">
        <w:t xml:space="preserve">the </w:t>
      </w:r>
      <w:r>
        <w:t xml:space="preserve">phytate content </w:t>
      </w:r>
      <w:r w:rsidR="00823714">
        <w:t xml:space="preserve">of rapeseed protein isolates </w:t>
      </w:r>
      <w:r>
        <w:t xml:space="preserve">is highly variable, and contingent on factors such as genotype and environmental conditions (Prynne </w:t>
      </w:r>
      <w:r w:rsidR="0071622F" w:rsidRPr="0071622F">
        <w:t>et al.</w:t>
      </w:r>
      <w:r>
        <w:t xml:space="preserve"> 2010), specifying a maximum</w:t>
      </w:r>
      <w:r w:rsidR="002321D5">
        <w:t xml:space="preserve"> phytate</w:t>
      </w:r>
      <w:r w:rsidR="00700B53">
        <w:t xml:space="preserve"> level is recommended.</w:t>
      </w:r>
    </w:p>
    <w:p w14:paraId="49CF746E" w14:textId="77777777" w:rsidR="002A16F7" w:rsidRDefault="002A16F7" w:rsidP="002A16F7"/>
    <w:p w14:paraId="36B269D7" w14:textId="38AF9254" w:rsidR="002A16F7" w:rsidRDefault="002A16F7" w:rsidP="00AC0DAE">
      <w:pPr>
        <w:pStyle w:val="FSTableTitle"/>
        <w:keepNext/>
        <w:keepLines/>
        <w:rPr>
          <w:b w:val="0"/>
          <w:i/>
        </w:rPr>
      </w:pPr>
      <w:r w:rsidRPr="005021AA">
        <w:rPr>
          <w:i/>
        </w:rPr>
        <w:t xml:space="preserve">Table </w:t>
      </w:r>
      <w:r w:rsidR="00694919" w:rsidRPr="005021AA">
        <w:rPr>
          <w:i/>
        </w:rPr>
        <w:t>4</w:t>
      </w:r>
      <w:r>
        <w:rPr>
          <w:i/>
        </w:rPr>
        <w:t>.</w:t>
      </w:r>
      <w:r w:rsidR="002C184E">
        <w:rPr>
          <w:i/>
        </w:rPr>
        <w:t>5</w:t>
      </w:r>
      <w:r w:rsidR="002C184E" w:rsidDel="002C184E">
        <w:rPr>
          <w:i/>
        </w:rPr>
        <w:t xml:space="preserve"> </w:t>
      </w:r>
      <w:r w:rsidRPr="005021AA">
        <w:rPr>
          <w:b w:val="0"/>
          <w:i/>
        </w:rPr>
        <w:t>Phytate content in rapeseed and soy protein isolates</w:t>
      </w:r>
    </w:p>
    <w:p w14:paraId="04AA9965" w14:textId="77777777" w:rsidR="005021AA" w:rsidRPr="005021AA" w:rsidRDefault="005021AA" w:rsidP="00AC0DAE">
      <w:pPr>
        <w:keepNext/>
        <w:keepLines/>
      </w:pPr>
    </w:p>
    <w:tbl>
      <w:tblPr>
        <w:tblStyle w:val="TableGrid"/>
        <w:tblW w:w="0" w:type="auto"/>
        <w:tblLook w:val="04A0" w:firstRow="1" w:lastRow="0" w:firstColumn="1" w:lastColumn="0" w:noHBand="0" w:noVBand="1"/>
        <w:tblCaption w:val="Table 4.5 Phytate content in rapeseed and soy protein isolates."/>
        <w:tblDescription w:val="Table 4.5 contains four columns. Column 1 reports the source of the data for data included in columns 2, 3 and 4. Column 2 identifies the isolate as either a rapeseed or soy protein isolate. Column 3 reports the commercial name of the protein isolate. Column 4 presents the phytate content for the respective protein isolate."/>
      </w:tblPr>
      <w:tblGrid>
        <w:gridCol w:w="1656"/>
        <w:gridCol w:w="1639"/>
        <w:gridCol w:w="2087"/>
        <w:gridCol w:w="2977"/>
      </w:tblGrid>
      <w:tr w:rsidR="002A16F7" w:rsidRPr="0049774A" w14:paraId="41749C71" w14:textId="77777777" w:rsidTr="00FE4C61">
        <w:trPr>
          <w:tblHeader/>
        </w:trPr>
        <w:tc>
          <w:tcPr>
            <w:tcW w:w="1656" w:type="dxa"/>
          </w:tcPr>
          <w:p w14:paraId="75933AB0" w14:textId="77777777" w:rsidR="002A16F7" w:rsidRPr="004539F6" w:rsidRDefault="002A16F7" w:rsidP="00AC0DAE">
            <w:pPr>
              <w:pStyle w:val="FSTableHeading"/>
              <w:keepNext/>
              <w:keepLines/>
              <w:jc w:val="left"/>
              <w:rPr>
                <w:rFonts w:ascii="Arial" w:hAnsi="Arial"/>
                <w:lang w:bidi="ar-SA"/>
              </w:rPr>
            </w:pPr>
            <w:r w:rsidRPr="004539F6">
              <w:rPr>
                <w:rFonts w:ascii="Arial" w:hAnsi="Arial"/>
                <w:lang w:bidi="ar-SA"/>
              </w:rPr>
              <w:t>Source</w:t>
            </w:r>
          </w:p>
        </w:tc>
        <w:tc>
          <w:tcPr>
            <w:tcW w:w="1639" w:type="dxa"/>
          </w:tcPr>
          <w:p w14:paraId="2C3F6D1F" w14:textId="77777777" w:rsidR="002A16F7" w:rsidRPr="004539F6" w:rsidRDefault="002A16F7" w:rsidP="00AC0DAE">
            <w:pPr>
              <w:pStyle w:val="FSTableHeading"/>
              <w:keepNext/>
              <w:keepLines/>
              <w:jc w:val="left"/>
              <w:rPr>
                <w:rFonts w:ascii="Arial" w:hAnsi="Arial"/>
                <w:lang w:bidi="ar-SA"/>
              </w:rPr>
            </w:pPr>
            <w:r w:rsidRPr="004539F6">
              <w:rPr>
                <w:rFonts w:ascii="Arial" w:hAnsi="Arial"/>
                <w:lang w:bidi="ar-SA"/>
              </w:rPr>
              <w:t>Protein isolate</w:t>
            </w:r>
          </w:p>
        </w:tc>
        <w:tc>
          <w:tcPr>
            <w:tcW w:w="2087" w:type="dxa"/>
          </w:tcPr>
          <w:p w14:paraId="184A096B" w14:textId="77777777" w:rsidR="002A16F7" w:rsidRPr="004539F6" w:rsidRDefault="002A16F7" w:rsidP="00AC0DAE">
            <w:pPr>
              <w:pStyle w:val="FSTableHeading"/>
              <w:keepNext/>
              <w:keepLines/>
              <w:jc w:val="left"/>
              <w:rPr>
                <w:rFonts w:ascii="Arial" w:hAnsi="Arial"/>
                <w:lang w:bidi="ar-SA"/>
              </w:rPr>
            </w:pPr>
            <w:r w:rsidRPr="004539F6">
              <w:rPr>
                <w:rFonts w:ascii="Arial" w:hAnsi="Arial"/>
                <w:lang w:bidi="ar-SA"/>
              </w:rPr>
              <w:t>Commercial name</w:t>
            </w:r>
          </w:p>
        </w:tc>
        <w:tc>
          <w:tcPr>
            <w:tcW w:w="2977" w:type="dxa"/>
          </w:tcPr>
          <w:p w14:paraId="2B4998B8" w14:textId="6CDC887B" w:rsidR="002A16F7" w:rsidRPr="004539F6" w:rsidRDefault="002A16F7" w:rsidP="00AC0DAE">
            <w:pPr>
              <w:pStyle w:val="Default"/>
              <w:keepNext/>
              <w:keepLines/>
              <w:jc w:val="center"/>
              <w:rPr>
                <w:b/>
                <w:bCs/>
                <w:sz w:val="20"/>
                <w:szCs w:val="20"/>
              </w:rPr>
            </w:pPr>
            <w:r w:rsidRPr="004539F6">
              <w:rPr>
                <w:b/>
                <w:bCs/>
                <w:sz w:val="20"/>
                <w:szCs w:val="20"/>
              </w:rPr>
              <w:t>Phytate/phytic acid content</w:t>
            </w:r>
            <w:r w:rsidRPr="004539F6">
              <w:rPr>
                <w:b/>
                <w:bCs/>
                <w:sz w:val="20"/>
                <w:szCs w:val="20"/>
                <w:vertAlign w:val="superscript"/>
              </w:rPr>
              <w:t>1</w:t>
            </w:r>
            <w:r w:rsidRPr="004539F6">
              <w:rPr>
                <w:b/>
                <w:bCs/>
                <w:sz w:val="20"/>
                <w:szCs w:val="20"/>
              </w:rPr>
              <w:t xml:space="preserve"> (%)</w:t>
            </w:r>
          </w:p>
        </w:tc>
      </w:tr>
      <w:tr w:rsidR="002A16F7" w:rsidRPr="0049774A" w14:paraId="614A2F4E" w14:textId="77777777" w:rsidTr="00FE4C61">
        <w:tc>
          <w:tcPr>
            <w:tcW w:w="1656" w:type="dxa"/>
          </w:tcPr>
          <w:p w14:paraId="31A26D79" w14:textId="4C1DF77E" w:rsidR="002A16F7" w:rsidRPr="004539F6" w:rsidRDefault="002A16F7" w:rsidP="00302211">
            <w:pPr>
              <w:pStyle w:val="FSTableText"/>
              <w:keepNext/>
              <w:keepLines/>
              <w:rPr>
                <w:lang w:bidi="ar-SA"/>
              </w:rPr>
            </w:pPr>
            <w:r w:rsidRPr="004539F6">
              <w:rPr>
                <w:lang w:bidi="ar-SA"/>
              </w:rPr>
              <w:t>A1175</w:t>
            </w:r>
            <w:r w:rsidR="00694919" w:rsidRPr="004539F6">
              <w:rPr>
                <w:lang w:bidi="ar-SA"/>
              </w:rPr>
              <w:t xml:space="preserve"> application</w:t>
            </w:r>
          </w:p>
        </w:tc>
        <w:tc>
          <w:tcPr>
            <w:tcW w:w="1639" w:type="dxa"/>
          </w:tcPr>
          <w:p w14:paraId="3F4E8D4E" w14:textId="77777777" w:rsidR="002A16F7" w:rsidRPr="004539F6" w:rsidRDefault="002A16F7" w:rsidP="00302211">
            <w:pPr>
              <w:pStyle w:val="FSTableText"/>
              <w:keepNext/>
              <w:keepLines/>
              <w:rPr>
                <w:lang w:bidi="ar-SA"/>
              </w:rPr>
            </w:pPr>
            <w:r w:rsidRPr="004539F6">
              <w:rPr>
                <w:lang w:bidi="ar-SA"/>
              </w:rPr>
              <w:t>Rapeseed protein isolate</w:t>
            </w:r>
          </w:p>
        </w:tc>
        <w:tc>
          <w:tcPr>
            <w:tcW w:w="2087" w:type="dxa"/>
          </w:tcPr>
          <w:p w14:paraId="438FB4B7" w14:textId="792562EF" w:rsidR="002A16F7" w:rsidRPr="004539F6" w:rsidRDefault="002A16F7" w:rsidP="00302211">
            <w:pPr>
              <w:pStyle w:val="FSTableText"/>
              <w:keepNext/>
              <w:keepLines/>
              <w:rPr>
                <w:lang w:bidi="ar-SA"/>
              </w:rPr>
            </w:pPr>
            <w:r w:rsidRPr="004539F6">
              <w:rPr>
                <w:lang w:bidi="ar-SA"/>
              </w:rPr>
              <w:t>CanolaPRO</w:t>
            </w:r>
          </w:p>
        </w:tc>
        <w:tc>
          <w:tcPr>
            <w:tcW w:w="2977" w:type="dxa"/>
          </w:tcPr>
          <w:p w14:paraId="7B149FFA" w14:textId="77777777" w:rsidR="002A16F7" w:rsidRPr="004539F6" w:rsidRDefault="002A16F7" w:rsidP="00302211">
            <w:pPr>
              <w:pStyle w:val="FSTableText"/>
              <w:keepNext/>
              <w:keepLines/>
              <w:jc w:val="center"/>
              <w:rPr>
                <w:lang w:bidi="ar-SA"/>
              </w:rPr>
            </w:pPr>
            <w:r w:rsidRPr="004539F6">
              <w:rPr>
                <w:lang w:bidi="ar-SA"/>
              </w:rPr>
              <w:t>&lt;0.14</w:t>
            </w:r>
          </w:p>
        </w:tc>
      </w:tr>
      <w:tr w:rsidR="002A16F7" w:rsidRPr="0049774A" w14:paraId="533188DE" w14:textId="77777777" w:rsidTr="00FE4C61">
        <w:tc>
          <w:tcPr>
            <w:tcW w:w="1656" w:type="dxa"/>
          </w:tcPr>
          <w:p w14:paraId="7605BC58" w14:textId="77777777" w:rsidR="002A16F7" w:rsidRPr="004539F6" w:rsidRDefault="002A16F7" w:rsidP="00302211">
            <w:pPr>
              <w:pStyle w:val="FSTableText"/>
              <w:keepNext/>
              <w:keepLines/>
              <w:rPr>
                <w:lang w:bidi="ar-SA"/>
              </w:rPr>
            </w:pPr>
            <w:r w:rsidRPr="004539F6">
              <w:rPr>
                <w:lang w:bidi="ar-SA"/>
              </w:rPr>
              <w:t xml:space="preserve">GRAS000327 </w:t>
            </w:r>
          </w:p>
        </w:tc>
        <w:tc>
          <w:tcPr>
            <w:tcW w:w="1639" w:type="dxa"/>
          </w:tcPr>
          <w:p w14:paraId="55176338" w14:textId="77777777" w:rsidR="002A16F7" w:rsidRPr="004539F6" w:rsidRDefault="002A16F7" w:rsidP="00302211">
            <w:pPr>
              <w:pStyle w:val="FSTableText"/>
              <w:keepNext/>
              <w:keepLines/>
              <w:rPr>
                <w:lang w:bidi="ar-SA"/>
              </w:rPr>
            </w:pPr>
            <w:r w:rsidRPr="004539F6">
              <w:rPr>
                <w:lang w:bidi="ar-SA"/>
              </w:rPr>
              <w:t>Rapeseed protein isolate</w:t>
            </w:r>
          </w:p>
        </w:tc>
        <w:tc>
          <w:tcPr>
            <w:tcW w:w="2087" w:type="dxa"/>
          </w:tcPr>
          <w:p w14:paraId="7D4640DE" w14:textId="77777777" w:rsidR="002A16F7" w:rsidRPr="004539F6" w:rsidRDefault="002A16F7" w:rsidP="00302211">
            <w:pPr>
              <w:pStyle w:val="FSTableText"/>
              <w:keepNext/>
              <w:keepLines/>
              <w:rPr>
                <w:lang w:bidi="ar-SA"/>
              </w:rPr>
            </w:pPr>
            <w:r w:rsidRPr="004539F6">
              <w:rPr>
                <w:lang w:bidi="ar-SA"/>
              </w:rPr>
              <w:t>Vitalexx</w:t>
            </w:r>
            <w:r w:rsidRPr="004539F6">
              <w:t>™</w:t>
            </w:r>
            <w:r w:rsidRPr="004539F6">
              <w:rPr>
                <w:lang w:bidi="ar-SA"/>
              </w:rPr>
              <w:t>, Isolexx</w:t>
            </w:r>
            <w:r w:rsidRPr="004539F6">
              <w:t>™</w:t>
            </w:r>
          </w:p>
        </w:tc>
        <w:tc>
          <w:tcPr>
            <w:tcW w:w="2977" w:type="dxa"/>
          </w:tcPr>
          <w:p w14:paraId="0B338993" w14:textId="77777777" w:rsidR="002A16F7" w:rsidRPr="004539F6" w:rsidRDefault="002A16F7" w:rsidP="00302211">
            <w:pPr>
              <w:pStyle w:val="FSTableText"/>
              <w:keepNext/>
              <w:keepLines/>
              <w:jc w:val="center"/>
              <w:rPr>
                <w:lang w:bidi="ar-SA"/>
              </w:rPr>
            </w:pPr>
            <w:r w:rsidRPr="004539F6">
              <w:rPr>
                <w:lang w:bidi="ar-SA"/>
              </w:rPr>
              <w:t>&lt;1.0 and &lt;1.25</w:t>
            </w:r>
          </w:p>
        </w:tc>
      </w:tr>
      <w:tr w:rsidR="002A16F7" w:rsidRPr="0049774A" w14:paraId="37F5F114" w14:textId="77777777" w:rsidTr="00FE4C61">
        <w:tc>
          <w:tcPr>
            <w:tcW w:w="1656" w:type="dxa"/>
          </w:tcPr>
          <w:p w14:paraId="2E5C9CE4" w14:textId="77777777" w:rsidR="002A16F7" w:rsidRPr="004539F6" w:rsidRDefault="002A16F7" w:rsidP="00302211">
            <w:pPr>
              <w:pStyle w:val="FSTableText"/>
              <w:keepNext/>
              <w:keepLines/>
              <w:rPr>
                <w:lang w:bidi="ar-SA"/>
              </w:rPr>
            </w:pPr>
            <w:r w:rsidRPr="004539F6">
              <w:rPr>
                <w:lang w:bidi="ar-SA"/>
              </w:rPr>
              <w:t>GRAS000386</w:t>
            </w:r>
          </w:p>
        </w:tc>
        <w:tc>
          <w:tcPr>
            <w:tcW w:w="1639" w:type="dxa"/>
          </w:tcPr>
          <w:p w14:paraId="31FBB46A" w14:textId="77777777" w:rsidR="002A16F7" w:rsidRPr="004539F6" w:rsidRDefault="002A16F7" w:rsidP="00302211">
            <w:pPr>
              <w:pStyle w:val="FSTableText"/>
              <w:keepNext/>
              <w:keepLines/>
              <w:rPr>
                <w:lang w:bidi="ar-SA"/>
              </w:rPr>
            </w:pPr>
            <w:r w:rsidRPr="004539F6">
              <w:rPr>
                <w:lang w:bidi="ar-SA"/>
              </w:rPr>
              <w:t>Rapeseed protein isolate</w:t>
            </w:r>
          </w:p>
        </w:tc>
        <w:tc>
          <w:tcPr>
            <w:tcW w:w="2087" w:type="dxa"/>
          </w:tcPr>
          <w:p w14:paraId="20451B54" w14:textId="77777777" w:rsidR="002A16F7" w:rsidRPr="004539F6" w:rsidRDefault="002A16F7" w:rsidP="00302211">
            <w:pPr>
              <w:pStyle w:val="FSTableText"/>
              <w:keepNext/>
              <w:keepLines/>
              <w:rPr>
                <w:lang w:bidi="ar-SA"/>
              </w:rPr>
            </w:pPr>
            <w:r w:rsidRPr="004539F6">
              <w:rPr>
                <w:lang w:bidi="ar-SA"/>
              </w:rPr>
              <w:t>Puratein</w:t>
            </w:r>
            <w:r w:rsidRPr="004539F6">
              <w:t>™</w:t>
            </w:r>
            <w:r w:rsidRPr="004539F6">
              <w:rPr>
                <w:lang w:bidi="ar-SA"/>
              </w:rPr>
              <w:t>, Supertein</w:t>
            </w:r>
            <w:r w:rsidRPr="004539F6">
              <w:t>™</w:t>
            </w:r>
          </w:p>
        </w:tc>
        <w:tc>
          <w:tcPr>
            <w:tcW w:w="2977" w:type="dxa"/>
          </w:tcPr>
          <w:p w14:paraId="163630AC" w14:textId="77777777" w:rsidR="002A16F7" w:rsidRPr="004539F6" w:rsidRDefault="002A16F7" w:rsidP="00302211">
            <w:pPr>
              <w:pStyle w:val="FSTableText"/>
              <w:keepNext/>
              <w:keepLines/>
              <w:jc w:val="center"/>
              <w:rPr>
                <w:lang w:bidi="ar-SA"/>
              </w:rPr>
            </w:pPr>
            <w:r w:rsidRPr="004539F6">
              <w:rPr>
                <w:lang w:bidi="ar-SA"/>
              </w:rPr>
              <w:t>0.32 and 3.34</w:t>
            </w:r>
          </w:p>
        </w:tc>
      </w:tr>
      <w:tr w:rsidR="002A16F7" w:rsidRPr="0049774A" w14:paraId="1CFD09DC" w14:textId="77777777" w:rsidTr="00FE4C61">
        <w:tc>
          <w:tcPr>
            <w:tcW w:w="1656" w:type="dxa"/>
          </w:tcPr>
          <w:p w14:paraId="712E67C0" w14:textId="77777777" w:rsidR="002A16F7" w:rsidRPr="004539F6" w:rsidRDefault="002A16F7" w:rsidP="00302211">
            <w:pPr>
              <w:pStyle w:val="FSTableText"/>
              <w:keepNext/>
              <w:keepLines/>
              <w:rPr>
                <w:lang w:bidi="ar-SA"/>
              </w:rPr>
            </w:pPr>
            <w:r w:rsidRPr="004539F6">
              <w:rPr>
                <w:lang w:bidi="ar-SA"/>
              </w:rPr>
              <w:t xml:space="preserve">Koletzko </w:t>
            </w:r>
            <w:r w:rsidR="0071622F" w:rsidRPr="0071622F">
              <w:rPr>
                <w:lang w:bidi="ar-SA"/>
              </w:rPr>
              <w:t>et al.</w:t>
            </w:r>
            <w:r w:rsidRPr="004539F6">
              <w:rPr>
                <w:lang w:bidi="ar-SA"/>
              </w:rPr>
              <w:t xml:space="preserve"> (2006)</w:t>
            </w:r>
          </w:p>
        </w:tc>
        <w:tc>
          <w:tcPr>
            <w:tcW w:w="1639" w:type="dxa"/>
          </w:tcPr>
          <w:p w14:paraId="1C4F28A3" w14:textId="77777777" w:rsidR="002A16F7" w:rsidRPr="004539F6" w:rsidRDefault="002A16F7" w:rsidP="00302211">
            <w:pPr>
              <w:pStyle w:val="FSTableText"/>
              <w:keepNext/>
              <w:keepLines/>
              <w:rPr>
                <w:lang w:bidi="ar-SA"/>
              </w:rPr>
            </w:pPr>
            <w:r w:rsidRPr="004539F6">
              <w:t>Soy protein isolate</w:t>
            </w:r>
          </w:p>
        </w:tc>
        <w:tc>
          <w:tcPr>
            <w:tcW w:w="2087" w:type="dxa"/>
          </w:tcPr>
          <w:p w14:paraId="23D6C0AB" w14:textId="77777777" w:rsidR="002A16F7" w:rsidRPr="004539F6" w:rsidRDefault="002A16F7" w:rsidP="00302211">
            <w:pPr>
              <w:pStyle w:val="FSTableText"/>
              <w:keepNext/>
              <w:keepLines/>
              <w:rPr>
                <w:lang w:bidi="ar-SA"/>
              </w:rPr>
            </w:pPr>
            <w:r w:rsidRPr="004539F6">
              <w:rPr>
                <w:lang w:bidi="ar-SA"/>
              </w:rPr>
              <w:t>n/a</w:t>
            </w:r>
          </w:p>
        </w:tc>
        <w:tc>
          <w:tcPr>
            <w:tcW w:w="2977" w:type="dxa"/>
          </w:tcPr>
          <w:p w14:paraId="00AA3698" w14:textId="77777777" w:rsidR="002A16F7" w:rsidRPr="004539F6" w:rsidRDefault="002A16F7" w:rsidP="00302211">
            <w:pPr>
              <w:pStyle w:val="FSTableText"/>
              <w:keepNext/>
              <w:keepLines/>
              <w:jc w:val="center"/>
              <w:rPr>
                <w:lang w:bidi="ar-SA"/>
              </w:rPr>
            </w:pPr>
            <w:r w:rsidRPr="004539F6">
              <w:t>1–2</w:t>
            </w:r>
          </w:p>
        </w:tc>
      </w:tr>
      <w:tr w:rsidR="002A16F7" w:rsidRPr="0049774A" w14:paraId="47F4E17B" w14:textId="77777777" w:rsidTr="00FE4C61">
        <w:tc>
          <w:tcPr>
            <w:tcW w:w="1656" w:type="dxa"/>
          </w:tcPr>
          <w:p w14:paraId="32700FF2" w14:textId="49CD14B6" w:rsidR="002A16F7" w:rsidRPr="004539F6" w:rsidRDefault="0000428D" w:rsidP="00302211">
            <w:pPr>
              <w:pStyle w:val="FSTableText"/>
              <w:keepNext/>
              <w:keepLines/>
              <w:rPr>
                <w:lang w:bidi="ar-SA"/>
              </w:rPr>
            </w:pPr>
            <w:r w:rsidRPr="004539F6">
              <w:rPr>
                <w:lang w:bidi="ar-SA"/>
              </w:rPr>
              <w:t xml:space="preserve">Honig </w:t>
            </w:r>
            <w:r w:rsidR="0071622F" w:rsidRPr="0071622F">
              <w:rPr>
                <w:lang w:bidi="ar-SA"/>
              </w:rPr>
              <w:t>et al.</w:t>
            </w:r>
            <w:r w:rsidRPr="004539F6">
              <w:rPr>
                <w:lang w:bidi="ar-SA"/>
              </w:rPr>
              <w:t xml:space="preserve"> </w:t>
            </w:r>
            <w:r w:rsidR="002A16F7" w:rsidRPr="004539F6">
              <w:rPr>
                <w:lang w:bidi="ar-SA"/>
              </w:rPr>
              <w:t>(1984)</w:t>
            </w:r>
          </w:p>
        </w:tc>
        <w:tc>
          <w:tcPr>
            <w:tcW w:w="1639" w:type="dxa"/>
          </w:tcPr>
          <w:p w14:paraId="10207FC9" w14:textId="77777777" w:rsidR="002A16F7" w:rsidRPr="004539F6" w:rsidRDefault="002A16F7" w:rsidP="00302211">
            <w:pPr>
              <w:pStyle w:val="FSTableText"/>
              <w:keepNext/>
              <w:keepLines/>
            </w:pPr>
            <w:r w:rsidRPr="004539F6">
              <w:rPr>
                <w:lang w:bidi="ar-SA"/>
              </w:rPr>
              <w:t xml:space="preserve">Soy protein isolate (commercial, </w:t>
            </w:r>
            <w:r w:rsidRPr="004539F6">
              <w:t>before dialysis)</w:t>
            </w:r>
          </w:p>
        </w:tc>
        <w:tc>
          <w:tcPr>
            <w:tcW w:w="2087" w:type="dxa"/>
          </w:tcPr>
          <w:p w14:paraId="49D2FB14" w14:textId="77777777" w:rsidR="002A16F7" w:rsidRPr="004539F6" w:rsidRDefault="002A16F7" w:rsidP="00302211">
            <w:pPr>
              <w:pStyle w:val="FSTableText"/>
              <w:keepNext/>
              <w:keepLines/>
              <w:rPr>
                <w:lang w:bidi="ar-SA"/>
              </w:rPr>
            </w:pPr>
            <w:r w:rsidRPr="004539F6">
              <w:rPr>
                <w:lang w:bidi="ar-SA"/>
              </w:rPr>
              <w:t>Edipro A</w:t>
            </w:r>
            <w:r w:rsidRPr="004539F6">
              <w:t>™</w:t>
            </w:r>
            <w:r w:rsidRPr="004539F6">
              <w:rPr>
                <w:lang w:bidi="ar-SA"/>
              </w:rPr>
              <w:t>, Supro 710</w:t>
            </w:r>
            <w:r w:rsidRPr="004539F6">
              <w:t>™</w:t>
            </w:r>
            <w:r w:rsidRPr="004539F6">
              <w:rPr>
                <w:lang w:bidi="ar-SA"/>
              </w:rPr>
              <w:t>, and Supro HD90</w:t>
            </w:r>
            <w:r w:rsidRPr="004539F6">
              <w:t>™</w:t>
            </w:r>
            <w:r w:rsidRPr="004539F6">
              <w:rPr>
                <w:lang w:bidi="ar-SA"/>
              </w:rPr>
              <w:t xml:space="preserve"> (Ralston Purina Company, USA)</w:t>
            </w:r>
          </w:p>
        </w:tc>
        <w:tc>
          <w:tcPr>
            <w:tcW w:w="2977" w:type="dxa"/>
          </w:tcPr>
          <w:p w14:paraId="3DF7012D" w14:textId="77777777" w:rsidR="002A16F7" w:rsidRPr="004539F6" w:rsidRDefault="002A16F7" w:rsidP="00302211">
            <w:pPr>
              <w:pStyle w:val="FSTableText"/>
              <w:keepNext/>
              <w:keepLines/>
              <w:jc w:val="center"/>
            </w:pPr>
            <w:r w:rsidRPr="004539F6">
              <w:t>1.6–2.0</w:t>
            </w:r>
          </w:p>
        </w:tc>
      </w:tr>
      <w:tr w:rsidR="002A16F7" w:rsidRPr="0049774A" w14:paraId="54C3760C" w14:textId="77777777" w:rsidTr="00FE4C61">
        <w:tc>
          <w:tcPr>
            <w:tcW w:w="1656" w:type="dxa"/>
          </w:tcPr>
          <w:p w14:paraId="187B0620" w14:textId="260BC55F" w:rsidR="002A16F7" w:rsidRPr="004539F6" w:rsidRDefault="002A16F7" w:rsidP="00302211">
            <w:pPr>
              <w:pStyle w:val="FSTableText"/>
              <w:keepNext/>
              <w:keepLines/>
              <w:rPr>
                <w:lang w:bidi="ar-SA"/>
              </w:rPr>
            </w:pPr>
            <w:r w:rsidRPr="004539F6">
              <w:rPr>
                <w:lang w:bidi="ar-SA"/>
              </w:rPr>
              <w:t>Honig</w:t>
            </w:r>
            <w:r w:rsidR="0000428D" w:rsidRPr="004539F6">
              <w:rPr>
                <w:lang w:bidi="ar-SA"/>
              </w:rPr>
              <w:t xml:space="preserve"> </w:t>
            </w:r>
            <w:r w:rsidR="0071622F" w:rsidRPr="0071622F">
              <w:rPr>
                <w:lang w:bidi="ar-SA"/>
              </w:rPr>
              <w:t>et al.</w:t>
            </w:r>
            <w:r w:rsidR="0000428D" w:rsidRPr="004539F6">
              <w:rPr>
                <w:lang w:bidi="ar-SA"/>
              </w:rPr>
              <w:t xml:space="preserve"> </w:t>
            </w:r>
            <w:r w:rsidRPr="004539F6">
              <w:rPr>
                <w:lang w:bidi="ar-SA"/>
              </w:rPr>
              <w:t>(1984)</w:t>
            </w:r>
          </w:p>
        </w:tc>
        <w:tc>
          <w:tcPr>
            <w:tcW w:w="1639" w:type="dxa"/>
          </w:tcPr>
          <w:p w14:paraId="42A6B651" w14:textId="77777777" w:rsidR="002A16F7" w:rsidRPr="004539F6" w:rsidRDefault="002A16F7" w:rsidP="00302211">
            <w:pPr>
              <w:pStyle w:val="FSTableText"/>
              <w:keepNext/>
              <w:keepLines/>
              <w:rPr>
                <w:lang w:bidi="ar-SA"/>
              </w:rPr>
            </w:pPr>
            <w:r w:rsidRPr="004539F6">
              <w:rPr>
                <w:lang w:bidi="ar-SA"/>
              </w:rPr>
              <w:t xml:space="preserve">Soy protein isolate (commercial, </w:t>
            </w:r>
            <w:r w:rsidRPr="004539F6">
              <w:t>after dialysis)</w:t>
            </w:r>
          </w:p>
        </w:tc>
        <w:tc>
          <w:tcPr>
            <w:tcW w:w="2087" w:type="dxa"/>
          </w:tcPr>
          <w:p w14:paraId="10AD2037" w14:textId="77777777" w:rsidR="002A16F7" w:rsidRPr="004539F6" w:rsidRDefault="002A16F7" w:rsidP="00302211">
            <w:pPr>
              <w:pStyle w:val="FSTableText"/>
              <w:keepNext/>
              <w:keepLines/>
              <w:rPr>
                <w:lang w:bidi="ar-SA"/>
              </w:rPr>
            </w:pPr>
            <w:r w:rsidRPr="004539F6">
              <w:rPr>
                <w:lang w:bidi="ar-SA"/>
              </w:rPr>
              <w:t>Edipro A</w:t>
            </w:r>
            <w:r w:rsidRPr="004539F6">
              <w:t>™</w:t>
            </w:r>
            <w:r w:rsidRPr="004539F6">
              <w:rPr>
                <w:lang w:bidi="ar-SA"/>
              </w:rPr>
              <w:t>, Supro 710</w:t>
            </w:r>
            <w:r w:rsidRPr="004539F6">
              <w:t>™</w:t>
            </w:r>
            <w:r w:rsidRPr="004539F6">
              <w:rPr>
                <w:lang w:bidi="ar-SA"/>
              </w:rPr>
              <w:t>, and Supro HD90</w:t>
            </w:r>
            <w:r w:rsidRPr="004539F6">
              <w:t>™</w:t>
            </w:r>
            <w:r w:rsidRPr="004539F6">
              <w:rPr>
                <w:lang w:bidi="ar-SA"/>
              </w:rPr>
              <w:t xml:space="preserve"> (Ralston Purina Company, USA)</w:t>
            </w:r>
          </w:p>
        </w:tc>
        <w:tc>
          <w:tcPr>
            <w:tcW w:w="2977" w:type="dxa"/>
          </w:tcPr>
          <w:p w14:paraId="5CB988D7" w14:textId="77777777" w:rsidR="002A16F7" w:rsidRPr="004539F6" w:rsidRDefault="002A16F7" w:rsidP="00302211">
            <w:pPr>
              <w:pStyle w:val="FSTableText"/>
              <w:keepNext/>
              <w:keepLines/>
              <w:jc w:val="center"/>
              <w:rPr>
                <w:lang w:bidi="ar-SA"/>
              </w:rPr>
            </w:pPr>
            <w:r w:rsidRPr="004539F6">
              <w:t>1.1–1.7</w:t>
            </w:r>
          </w:p>
        </w:tc>
      </w:tr>
      <w:tr w:rsidR="002A16F7" w:rsidRPr="0049774A" w14:paraId="0397FAEA" w14:textId="77777777" w:rsidTr="00FE4C61">
        <w:tc>
          <w:tcPr>
            <w:tcW w:w="1656" w:type="dxa"/>
          </w:tcPr>
          <w:p w14:paraId="6994914F" w14:textId="77777777" w:rsidR="002A16F7" w:rsidRPr="004539F6" w:rsidRDefault="002A16F7" w:rsidP="00302211">
            <w:pPr>
              <w:pStyle w:val="FSTableText"/>
              <w:keepNext/>
              <w:keepLines/>
              <w:rPr>
                <w:lang w:bidi="ar-SA"/>
              </w:rPr>
            </w:pPr>
            <w:r w:rsidRPr="004539F6">
              <w:rPr>
                <w:lang w:bidi="ar-SA"/>
              </w:rPr>
              <w:t xml:space="preserve">Hurrell </w:t>
            </w:r>
            <w:r w:rsidR="0071622F" w:rsidRPr="0071622F">
              <w:rPr>
                <w:lang w:bidi="ar-SA"/>
              </w:rPr>
              <w:t>et al.</w:t>
            </w:r>
            <w:r w:rsidRPr="004539F6">
              <w:rPr>
                <w:lang w:bidi="ar-SA"/>
              </w:rPr>
              <w:t xml:space="preserve"> (1992)</w:t>
            </w:r>
          </w:p>
        </w:tc>
        <w:tc>
          <w:tcPr>
            <w:tcW w:w="1639" w:type="dxa"/>
          </w:tcPr>
          <w:p w14:paraId="03977392" w14:textId="77777777" w:rsidR="002A16F7" w:rsidRPr="004539F6" w:rsidRDefault="002A16F7" w:rsidP="00302211">
            <w:pPr>
              <w:pStyle w:val="FSTableText"/>
              <w:keepNext/>
              <w:keepLines/>
              <w:rPr>
                <w:lang w:bidi="ar-SA"/>
              </w:rPr>
            </w:pPr>
            <w:r w:rsidRPr="004539F6">
              <w:rPr>
                <w:lang w:bidi="ar-SA"/>
              </w:rPr>
              <w:t>Soy protein isolate (commercial)</w:t>
            </w:r>
          </w:p>
        </w:tc>
        <w:tc>
          <w:tcPr>
            <w:tcW w:w="2087" w:type="dxa"/>
          </w:tcPr>
          <w:p w14:paraId="643962C8" w14:textId="77777777" w:rsidR="002A16F7" w:rsidRPr="004539F6" w:rsidRDefault="002A16F7" w:rsidP="00302211">
            <w:pPr>
              <w:pStyle w:val="FSTableText"/>
              <w:keepNext/>
              <w:keepLines/>
              <w:rPr>
                <w:lang w:bidi="ar-SA"/>
              </w:rPr>
            </w:pPr>
            <w:r w:rsidRPr="004539F6">
              <w:rPr>
                <w:lang w:bidi="ar-SA"/>
              </w:rPr>
              <w:t>n/a</w:t>
            </w:r>
          </w:p>
        </w:tc>
        <w:tc>
          <w:tcPr>
            <w:tcW w:w="2977" w:type="dxa"/>
          </w:tcPr>
          <w:p w14:paraId="088F7C16" w14:textId="77777777" w:rsidR="002A16F7" w:rsidRPr="004539F6" w:rsidRDefault="002A16F7" w:rsidP="00302211">
            <w:pPr>
              <w:pStyle w:val="FSTableText"/>
              <w:keepNext/>
              <w:keepLines/>
              <w:jc w:val="center"/>
              <w:rPr>
                <w:lang w:bidi="ar-SA"/>
              </w:rPr>
            </w:pPr>
            <w:r w:rsidRPr="004539F6">
              <w:rPr>
                <w:lang w:bidi="ar-SA"/>
              </w:rPr>
              <w:t>0.9–1.7</w:t>
            </w:r>
          </w:p>
        </w:tc>
      </w:tr>
      <w:tr w:rsidR="002A16F7" w:rsidRPr="0049774A" w14:paraId="1CD2F0ED" w14:textId="77777777" w:rsidTr="00FE4C61">
        <w:tc>
          <w:tcPr>
            <w:tcW w:w="1656" w:type="dxa"/>
          </w:tcPr>
          <w:p w14:paraId="788188D8" w14:textId="77777777" w:rsidR="002A16F7" w:rsidRPr="004539F6" w:rsidRDefault="002A16F7" w:rsidP="00302211">
            <w:pPr>
              <w:pStyle w:val="FSTableText"/>
              <w:keepNext/>
              <w:keepLines/>
              <w:rPr>
                <w:lang w:bidi="ar-SA"/>
              </w:rPr>
            </w:pPr>
            <w:r w:rsidRPr="004539F6">
              <w:t>Thompson and Erdman (</w:t>
            </w:r>
            <w:r w:rsidRPr="004539F6">
              <w:rPr>
                <w:lang w:bidi="ar-SA"/>
              </w:rPr>
              <w:t>1982)</w:t>
            </w:r>
          </w:p>
        </w:tc>
        <w:tc>
          <w:tcPr>
            <w:tcW w:w="1639" w:type="dxa"/>
          </w:tcPr>
          <w:p w14:paraId="1C6BBC42" w14:textId="77777777" w:rsidR="002A16F7" w:rsidRPr="004539F6" w:rsidRDefault="002A16F7" w:rsidP="00302211">
            <w:pPr>
              <w:pStyle w:val="FSTableText"/>
              <w:keepNext/>
              <w:keepLines/>
              <w:rPr>
                <w:lang w:bidi="ar-SA"/>
              </w:rPr>
            </w:pPr>
            <w:r w:rsidRPr="004539F6">
              <w:rPr>
                <w:lang w:bidi="ar-SA"/>
              </w:rPr>
              <w:t>Soy protein isolate</w:t>
            </w:r>
          </w:p>
        </w:tc>
        <w:tc>
          <w:tcPr>
            <w:tcW w:w="2087" w:type="dxa"/>
          </w:tcPr>
          <w:p w14:paraId="6C21F821" w14:textId="77777777" w:rsidR="002A16F7" w:rsidRPr="004539F6" w:rsidRDefault="002A16F7" w:rsidP="00302211">
            <w:pPr>
              <w:pStyle w:val="FSTableText"/>
              <w:keepNext/>
              <w:keepLines/>
              <w:rPr>
                <w:lang w:bidi="ar-SA"/>
              </w:rPr>
            </w:pPr>
            <w:r w:rsidRPr="004539F6">
              <w:rPr>
                <w:lang w:bidi="ar-SA"/>
              </w:rPr>
              <w:t>n/a</w:t>
            </w:r>
          </w:p>
        </w:tc>
        <w:tc>
          <w:tcPr>
            <w:tcW w:w="2977" w:type="dxa"/>
          </w:tcPr>
          <w:p w14:paraId="6E39071E" w14:textId="77777777" w:rsidR="002A16F7" w:rsidRPr="004539F6" w:rsidRDefault="002A16F7" w:rsidP="00302211">
            <w:pPr>
              <w:pStyle w:val="FSTableText"/>
              <w:keepNext/>
              <w:keepLines/>
              <w:jc w:val="center"/>
              <w:rPr>
                <w:lang w:bidi="ar-SA"/>
              </w:rPr>
            </w:pPr>
            <w:r w:rsidRPr="004539F6">
              <w:rPr>
                <w:lang w:bidi="ar-SA"/>
              </w:rPr>
              <w:t>1.63</w:t>
            </w:r>
          </w:p>
        </w:tc>
      </w:tr>
      <w:tr w:rsidR="002A16F7" w:rsidRPr="0049774A" w14:paraId="003C6DE2" w14:textId="77777777" w:rsidTr="00FE4C61">
        <w:tc>
          <w:tcPr>
            <w:tcW w:w="1656" w:type="dxa"/>
          </w:tcPr>
          <w:p w14:paraId="637184A5" w14:textId="3911BF2F" w:rsidR="002A16F7" w:rsidRPr="004539F6" w:rsidRDefault="00AB2A35" w:rsidP="00302211">
            <w:pPr>
              <w:pStyle w:val="FSTableText"/>
              <w:keepNext/>
              <w:keepLines/>
              <w:rPr>
                <w:lang w:bidi="ar-SA"/>
              </w:rPr>
            </w:pPr>
            <w:r w:rsidRPr="004539F6">
              <w:t>D</w:t>
            </w:r>
            <w:r w:rsidR="002A16F7" w:rsidRPr="004539F6">
              <w:t>e</w:t>
            </w:r>
            <w:r>
              <w:t xml:space="preserve"> </w:t>
            </w:r>
            <w:r w:rsidR="002A16F7" w:rsidRPr="004539F6">
              <w:t>Boland</w:t>
            </w:r>
            <w:r w:rsidR="0000428D" w:rsidRPr="004539F6">
              <w:t xml:space="preserve"> </w:t>
            </w:r>
            <w:r w:rsidR="0071622F" w:rsidRPr="0071622F">
              <w:t>et al.</w:t>
            </w:r>
            <w:r w:rsidR="002A16F7" w:rsidRPr="004539F6">
              <w:t xml:space="preserve"> (1975)</w:t>
            </w:r>
          </w:p>
        </w:tc>
        <w:tc>
          <w:tcPr>
            <w:tcW w:w="1639" w:type="dxa"/>
          </w:tcPr>
          <w:p w14:paraId="14FA91E6" w14:textId="77777777" w:rsidR="002A16F7" w:rsidRPr="004539F6" w:rsidRDefault="002A16F7" w:rsidP="00302211">
            <w:pPr>
              <w:pStyle w:val="FSTableText"/>
              <w:keepNext/>
              <w:keepLines/>
              <w:rPr>
                <w:lang w:bidi="ar-SA"/>
              </w:rPr>
            </w:pPr>
            <w:r w:rsidRPr="004539F6">
              <w:rPr>
                <w:lang w:bidi="ar-SA"/>
              </w:rPr>
              <w:t>Soy protein isolate</w:t>
            </w:r>
          </w:p>
        </w:tc>
        <w:tc>
          <w:tcPr>
            <w:tcW w:w="2087" w:type="dxa"/>
          </w:tcPr>
          <w:p w14:paraId="6BBBE3DE" w14:textId="77777777" w:rsidR="002A16F7" w:rsidRPr="004539F6" w:rsidRDefault="002A16F7" w:rsidP="00302211">
            <w:pPr>
              <w:pStyle w:val="FSTableText"/>
              <w:keepNext/>
              <w:keepLines/>
              <w:rPr>
                <w:lang w:bidi="ar-SA"/>
              </w:rPr>
            </w:pPr>
            <w:r w:rsidRPr="004539F6">
              <w:rPr>
                <w:lang w:bidi="ar-SA"/>
              </w:rPr>
              <w:t>n/a</w:t>
            </w:r>
          </w:p>
        </w:tc>
        <w:tc>
          <w:tcPr>
            <w:tcW w:w="2977" w:type="dxa"/>
          </w:tcPr>
          <w:p w14:paraId="2221A826" w14:textId="77777777" w:rsidR="002A16F7" w:rsidRPr="004539F6" w:rsidRDefault="002A16F7" w:rsidP="00302211">
            <w:pPr>
              <w:pStyle w:val="FSTableText"/>
              <w:keepNext/>
              <w:keepLines/>
              <w:jc w:val="center"/>
              <w:rPr>
                <w:lang w:bidi="ar-SA"/>
              </w:rPr>
            </w:pPr>
            <w:r w:rsidRPr="004539F6">
              <w:rPr>
                <w:lang w:bidi="ar-SA"/>
              </w:rPr>
              <w:t>1.52</w:t>
            </w:r>
          </w:p>
        </w:tc>
      </w:tr>
      <w:tr w:rsidR="002A16F7" w:rsidRPr="0049774A" w14:paraId="7C7F82EB" w14:textId="77777777" w:rsidTr="00FE4C61">
        <w:tc>
          <w:tcPr>
            <w:tcW w:w="1656" w:type="dxa"/>
          </w:tcPr>
          <w:p w14:paraId="295033CC" w14:textId="3410A3AD" w:rsidR="002A16F7" w:rsidRPr="004539F6" w:rsidRDefault="0000428D" w:rsidP="00302211">
            <w:pPr>
              <w:pStyle w:val="FSTableText"/>
              <w:keepNext/>
              <w:keepLines/>
              <w:rPr>
                <w:lang w:bidi="ar-SA"/>
              </w:rPr>
            </w:pPr>
            <w:r w:rsidRPr="004539F6">
              <w:t xml:space="preserve">Naczk </w:t>
            </w:r>
            <w:r w:rsidR="0071622F" w:rsidRPr="0071622F">
              <w:t>et al.</w:t>
            </w:r>
            <w:r w:rsidRPr="004539F6">
              <w:t xml:space="preserve"> </w:t>
            </w:r>
            <w:r w:rsidR="002A16F7" w:rsidRPr="004539F6">
              <w:t>(</w:t>
            </w:r>
            <w:r w:rsidR="002A16F7" w:rsidRPr="004539F6">
              <w:rPr>
                <w:lang w:bidi="ar-SA"/>
              </w:rPr>
              <w:t>1986)</w:t>
            </w:r>
          </w:p>
        </w:tc>
        <w:tc>
          <w:tcPr>
            <w:tcW w:w="1639" w:type="dxa"/>
          </w:tcPr>
          <w:p w14:paraId="04DFD189" w14:textId="77777777" w:rsidR="002A16F7" w:rsidRPr="004539F6" w:rsidRDefault="002A16F7" w:rsidP="00302211">
            <w:pPr>
              <w:pStyle w:val="FSTableText"/>
              <w:keepNext/>
              <w:keepLines/>
              <w:rPr>
                <w:lang w:bidi="ar-SA"/>
              </w:rPr>
            </w:pPr>
            <w:r w:rsidRPr="004539F6">
              <w:rPr>
                <w:lang w:bidi="ar-SA"/>
              </w:rPr>
              <w:t>Soy protein isolate</w:t>
            </w:r>
          </w:p>
        </w:tc>
        <w:tc>
          <w:tcPr>
            <w:tcW w:w="2087" w:type="dxa"/>
          </w:tcPr>
          <w:p w14:paraId="19762E04" w14:textId="77777777" w:rsidR="002A16F7" w:rsidRPr="004539F6" w:rsidRDefault="002A16F7" w:rsidP="00302211">
            <w:pPr>
              <w:pStyle w:val="FSTableText"/>
              <w:keepNext/>
              <w:keepLines/>
              <w:rPr>
                <w:lang w:bidi="ar-SA"/>
              </w:rPr>
            </w:pPr>
            <w:r w:rsidRPr="004539F6">
              <w:rPr>
                <w:lang w:bidi="ar-SA"/>
              </w:rPr>
              <w:t>SUPRO 620</w:t>
            </w:r>
            <w:r w:rsidRPr="004539F6">
              <w:t>™</w:t>
            </w:r>
            <w:r w:rsidRPr="004539F6">
              <w:rPr>
                <w:lang w:bidi="ar-SA"/>
              </w:rPr>
              <w:t xml:space="preserve"> (Ralston Purina Company, USA)</w:t>
            </w:r>
          </w:p>
        </w:tc>
        <w:tc>
          <w:tcPr>
            <w:tcW w:w="2977" w:type="dxa"/>
          </w:tcPr>
          <w:p w14:paraId="65D02099" w14:textId="77777777" w:rsidR="002A16F7" w:rsidRPr="004539F6" w:rsidRDefault="002A16F7" w:rsidP="00302211">
            <w:pPr>
              <w:pStyle w:val="FSTableText"/>
              <w:keepNext/>
              <w:keepLines/>
              <w:jc w:val="center"/>
              <w:rPr>
                <w:lang w:bidi="ar-SA"/>
              </w:rPr>
            </w:pPr>
            <w:r w:rsidRPr="004539F6">
              <w:rPr>
                <w:lang w:bidi="ar-SA"/>
              </w:rPr>
              <w:t>1.69</w:t>
            </w:r>
          </w:p>
        </w:tc>
      </w:tr>
    </w:tbl>
    <w:p w14:paraId="2E7E6E5B" w14:textId="266240F4" w:rsidR="00E16B67" w:rsidRPr="00E16B67" w:rsidRDefault="00E16B67" w:rsidP="00302211">
      <w:pPr>
        <w:keepNext/>
        <w:keepLines/>
        <w:rPr>
          <w:rFonts w:cs="Arial"/>
          <w:sz w:val="18"/>
          <w:szCs w:val="18"/>
        </w:rPr>
      </w:pPr>
      <w:r w:rsidRPr="00E16B67">
        <w:rPr>
          <w:rFonts w:cs="Arial"/>
          <w:sz w:val="18"/>
          <w:szCs w:val="18"/>
        </w:rPr>
        <w:t>n/a, not applicable</w:t>
      </w:r>
      <w:r w:rsidR="001646CE">
        <w:rPr>
          <w:rFonts w:cs="Arial"/>
          <w:sz w:val="18"/>
          <w:szCs w:val="18"/>
        </w:rPr>
        <w:t>.</w:t>
      </w:r>
    </w:p>
    <w:p w14:paraId="42CE5C72" w14:textId="418E69D4" w:rsidR="002A16F7" w:rsidRPr="0049774A" w:rsidRDefault="002A16F7" w:rsidP="00302211">
      <w:pPr>
        <w:keepNext/>
        <w:keepLines/>
        <w:rPr>
          <w:rFonts w:cs="Arial"/>
          <w:sz w:val="18"/>
          <w:szCs w:val="18"/>
        </w:rPr>
      </w:pPr>
      <w:r>
        <w:rPr>
          <w:rFonts w:cs="Arial"/>
          <w:sz w:val="18"/>
          <w:szCs w:val="18"/>
          <w:vertAlign w:val="superscript"/>
        </w:rPr>
        <w:t>1</w:t>
      </w:r>
      <w:r w:rsidR="00667290">
        <w:rPr>
          <w:rFonts w:cs="Arial"/>
          <w:sz w:val="18"/>
          <w:szCs w:val="18"/>
        </w:rPr>
        <w:t xml:space="preserve"> P</w:t>
      </w:r>
      <w:r>
        <w:rPr>
          <w:rFonts w:cs="Arial"/>
          <w:sz w:val="18"/>
          <w:szCs w:val="18"/>
        </w:rPr>
        <w:t>hytate or phytic acid</w:t>
      </w:r>
      <w:r w:rsidR="00667290">
        <w:rPr>
          <w:rFonts w:cs="Arial"/>
          <w:sz w:val="18"/>
          <w:szCs w:val="18"/>
        </w:rPr>
        <w:t xml:space="preserve"> content is reported</w:t>
      </w:r>
      <w:r>
        <w:rPr>
          <w:rFonts w:cs="Arial"/>
          <w:sz w:val="18"/>
          <w:szCs w:val="18"/>
        </w:rPr>
        <w:t>, depending on the data published.</w:t>
      </w:r>
    </w:p>
    <w:p w14:paraId="55E47AFF" w14:textId="77777777" w:rsidR="002A16F7" w:rsidRDefault="002A16F7" w:rsidP="002A16F7">
      <w:pPr>
        <w:rPr>
          <w:lang w:eastAsia="en-AU" w:bidi="ar-SA"/>
        </w:rPr>
      </w:pPr>
    </w:p>
    <w:p w14:paraId="701BA775" w14:textId="3AC3637A" w:rsidR="008C63AD" w:rsidRDefault="00647355" w:rsidP="00647355">
      <w:pPr>
        <w:pStyle w:val="Heading4"/>
      </w:pPr>
      <w:bookmarkStart w:id="776" w:name="_Toc40449963"/>
      <w:bookmarkStart w:id="777" w:name="_Toc40432986"/>
      <w:bookmarkStart w:id="778" w:name="_Toc39571030"/>
      <w:bookmarkStart w:id="779" w:name="_Toc39579285"/>
      <w:bookmarkStart w:id="780" w:name="_Toc39579348"/>
      <w:bookmarkStart w:id="781" w:name="_Toc39587106"/>
      <w:bookmarkStart w:id="782" w:name="_Toc39582498"/>
      <w:bookmarkStart w:id="783" w:name="_Toc40264916"/>
      <w:bookmarkStart w:id="784" w:name="_Toc40266392"/>
      <w:bookmarkStart w:id="785" w:name="_Toc40279725"/>
      <w:bookmarkStart w:id="786" w:name="_Toc40282027"/>
      <w:bookmarkStart w:id="787" w:name="_Toc40282189"/>
      <w:bookmarkStart w:id="788" w:name="_Toc40360520"/>
      <w:bookmarkStart w:id="789" w:name="_Toc40353563"/>
      <w:bookmarkStart w:id="790" w:name="_Toc40366910"/>
      <w:bookmarkStart w:id="791" w:name="_Toc40368242"/>
      <w:bookmarkStart w:id="792" w:name="_Toc40382849"/>
      <w:bookmarkStart w:id="793" w:name="_Toc40431048"/>
      <w:bookmarkStart w:id="794" w:name="_Toc40447671"/>
      <w:bookmarkStart w:id="795" w:name="_Toc40441200"/>
      <w:bookmarkStart w:id="796" w:name="_Toc40448536"/>
      <w:r>
        <w:t>4.4.2.</w:t>
      </w:r>
      <w:r w:rsidR="00B853A5">
        <w:t>4</w:t>
      </w:r>
      <w:r w:rsidR="005021AA">
        <w:tab/>
      </w:r>
      <w:r w:rsidR="008C63AD">
        <w:t>Conclusion</w:t>
      </w:r>
      <w:bookmarkEnd w:id="776"/>
    </w:p>
    <w:p w14:paraId="4CC7837C" w14:textId="07710242" w:rsidR="003B5233" w:rsidRDefault="000F43AB" w:rsidP="000F43AB">
      <w:r>
        <w:t xml:space="preserve">At </w:t>
      </w:r>
      <w:r w:rsidR="00AC0DAE">
        <w:t>the highest typical</w:t>
      </w:r>
      <w:r>
        <w:t xml:space="preserve"> use level of </w:t>
      </w:r>
      <w:r w:rsidR="00EF7FA2">
        <w:t>10</w:t>
      </w:r>
      <w:r>
        <w:t>% in foods, t</w:t>
      </w:r>
      <w:r w:rsidR="008C63AD">
        <w:t xml:space="preserve">he maximum phytate level </w:t>
      </w:r>
      <w:r>
        <w:t xml:space="preserve">in rapeseed protein isolate </w:t>
      </w:r>
      <w:r w:rsidR="000C27A3">
        <w:t xml:space="preserve">proposed in the application </w:t>
      </w:r>
      <w:r w:rsidR="008C63AD">
        <w:t>(</w:t>
      </w:r>
      <w:r>
        <w:t>1.5% </w:t>
      </w:r>
      <w:r w:rsidR="008C63AD">
        <w:t xml:space="preserve">w/w) </w:t>
      </w:r>
      <w:r>
        <w:t>equates to</w:t>
      </w:r>
      <w:r w:rsidR="000C27A3">
        <w:t xml:space="preserve"> maximum levels in foods of </w:t>
      </w:r>
      <w:r>
        <w:t>0.</w:t>
      </w:r>
      <w:r w:rsidR="00660EC5">
        <w:t>1</w:t>
      </w:r>
      <w:r>
        <w:t xml:space="preserve">5%, which </w:t>
      </w:r>
      <w:r w:rsidR="008C63AD">
        <w:t xml:space="preserve">is </w:t>
      </w:r>
      <w:r w:rsidR="007E09D2">
        <w:t xml:space="preserve">close to the lower end of </w:t>
      </w:r>
      <w:r w:rsidR="003B4A52">
        <w:t>the range reported for commonly consumed foods such as cereals, beans, and nuts</w:t>
      </w:r>
      <w:r>
        <w:t xml:space="preserve">. Also, the maximum phytate level of 1.5% </w:t>
      </w:r>
      <w:r w:rsidR="006E5FCF">
        <w:t xml:space="preserve">proposed in the specifications for rapeseed protein isolate </w:t>
      </w:r>
      <w:r w:rsidR="003B4A52">
        <w:t xml:space="preserve">is </w:t>
      </w:r>
      <w:r w:rsidR="008C63AD">
        <w:t xml:space="preserve">similar to the maximum levels reported for soy protein isolates </w:t>
      </w:r>
      <w:r w:rsidR="003865FA" w:rsidRPr="003865FA">
        <w:t>(1.5–1.7%)</w:t>
      </w:r>
      <w:r w:rsidR="00773FF0" w:rsidRPr="00773FF0">
        <w:t xml:space="preserve"> which are the most widely used plant protein isolates</w:t>
      </w:r>
      <w:r w:rsidR="003865FA">
        <w:t xml:space="preserve">. </w:t>
      </w:r>
      <w:r>
        <w:t>Therefore, p</w:t>
      </w:r>
      <w:r w:rsidR="00A5456C">
        <w:t>hytate level</w:t>
      </w:r>
      <w:r w:rsidR="00184DC2">
        <w:t>s</w:t>
      </w:r>
      <w:r w:rsidR="00A5456C">
        <w:t xml:space="preserve"> </w:t>
      </w:r>
      <w:r w:rsidR="00184DC2">
        <w:t xml:space="preserve">of up to 1.5% </w:t>
      </w:r>
      <w:r w:rsidR="00A5456C">
        <w:t xml:space="preserve">in rapeseed protein isolate </w:t>
      </w:r>
      <w:r w:rsidR="00184DC2">
        <w:t>do</w:t>
      </w:r>
      <w:r w:rsidR="00A5456C">
        <w:t xml:space="preserve"> not raise concerns</w:t>
      </w:r>
      <w:r w:rsidR="00245DB2">
        <w:t xml:space="preserve"> regarding mineral bioavailability</w:t>
      </w:r>
      <w:r w:rsidR="00A5456C">
        <w:t>.</w:t>
      </w:r>
    </w:p>
    <w:p w14:paraId="34D85D75" w14:textId="7D81D510" w:rsidR="002A16F7" w:rsidRDefault="00694919" w:rsidP="00614DC8">
      <w:pPr>
        <w:pStyle w:val="Heading3"/>
      </w:pPr>
      <w:bookmarkStart w:id="797" w:name="_Toc40449964"/>
      <w:bookmarkStart w:id="798" w:name="_Toc40968308"/>
      <w:bookmarkStart w:id="799" w:name="_Toc41051030"/>
      <w:bookmarkStart w:id="800" w:name="_Toc41046030"/>
      <w:bookmarkStart w:id="801" w:name="_Toc41053488"/>
      <w:bookmarkStart w:id="802" w:name="_Toc44592659"/>
      <w:bookmarkStart w:id="803" w:name="_Toc44596171"/>
      <w:bookmarkStart w:id="804" w:name="_Toc44604566"/>
      <w:bookmarkStart w:id="805" w:name="_Toc54169715"/>
      <w:bookmarkStart w:id="806" w:name="_Toc56090004"/>
      <w:r>
        <w:t>4</w:t>
      </w:r>
      <w:r w:rsidR="002A16F7">
        <w:t>.4.3</w:t>
      </w:r>
      <w:r w:rsidR="005021AA">
        <w:tab/>
      </w:r>
      <w:r w:rsidR="006426DA" w:rsidRPr="000719F8">
        <w:t>Phenolic compounds</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2C0476BD" w14:textId="78AADFD3" w:rsidR="000719F8" w:rsidRPr="000719F8" w:rsidRDefault="002A16F7" w:rsidP="006426DA">
      <w:pPr>
        <w:rPr>
          <w:lang w:bidi="ar-SA"/>
        </w:rPr>
      </w:pPr>
      <w:r>
        <w:t>Phenolic compounds</w:t>
      </w:r>
      <w:r w:rsidR="006426DA">
        <w:t>, which</w:t>
      </w:r>
      <w:r>
        <w:t xml:space="preserve"> include flavonoids, phenolic acids and tannins are common to many plants</w:t>
      </w:r>
      <w:r w:rsidR="006426DA">
        <w:t xml:space="preserve"> </w:t>
      </w:r>
      <w:r w:rsidR="006426DA" w:rsidRPr="000719F8">
        <w:rPr>
          <w:lang w:bidi="ar-SA"/>
        </w:rPr>
        <w:t>and are therefore abundant in the human diet.</w:t>
      </w:r>
      <w:r w:rsidRPr="000719F8">
        <w:rPr>
          <w:lang w:bidi="ar-SA"/>
        </w:rPr>
        <w:t xml:space="preserve"> </w:t>
      </w:r>
      <w:r w:rsidR="000719F8" w:rsidRPr="000719F8">
        <w:rPr>
          <w:lang w:bidi="ar-SA"/>
        </w:rPr>
        <w:t xml:space="preserve">The predominant phenolic substance in rapeseed is 3,5-dimethoxy-4-hydroxycinnamic acid (sinapic acid). No references were found to adverse effects of sinapic acid, and EFSA (2013) cited references </w:t>
      </w:r>
      <w:r w:rsidR="006426DA">
        <w:rPr>
          <w:lang w:bidi="ar-SA"/>
        </w:rPr>
        <w:t xml:space="preserve">reporting </w:t>
      </w:r>
      <w:r w:rsidR="000719F8" w:rsidRPr="000719F8">
        <w:rPr>
          <w:lang w:bidi="ar-SA"/>
        </w:rPr>
        <w:t>that the concentration of sinapic acid in rapeseed protein isolate is lower than in common</w:t>
      </w:r>
      <w:r w:rsidR="006426DA">
        <w:rPr>
          <w:lang w:bidi="ar-SA"/>
        </w:rPr>
        <w:t>ly consumed</w:t>
      </w:r>
      <w:r w:rsidR="000719F8" w:rsidRPr="000719F8">
        <w:rPr>
          <w:lang w:bidi="ar-SA"/>
        </w:rPr>
        <w:t xml:space="preserve"> foods including apple, pear, broccoli and potato flour. Sinapic acid in rapeseed protein isolate is therefore not considered to be of health concern.</w:t>
      </w:r>
    </w:p>
    <w:p w14:paraId="5E7F7F13" w14:textId="7BCD00ED" w:rsidR="00507D25" w:rsidRDefault="007D5796" w:rsidP="00E41BD5">
      <w:pPr>
        <w:pStyle w:val="Heading2"/>
      </w:pPr>
      <w:bookmarkStart w:id="807" w:name="_Toc40264917"/>
      <w:bookmarkStart w:id="808" w:name="_Toc40266393"/>
      <w:bookmarkStart w:id="809" w:name="_Toc40279726"/>
      <w:bookmarkStart w:id="810" w:name="_Toc40282028"/>
      <w:bookmarkStart w:id="811" w:name="_Toc40282190"/>
      <w:bookmarkStart w:id="812" w:name="_Toc40360521"/>
      <w:bookmarkStart w:id="813" w:name="_Toc40353564"/>
      <w:bookmarkStart w:id="814" w:name="_Toc40366911"/>
      <w:bookmarkStart w:id="815" w:name="_Toc40368243"/>
      <w:bookmarkStart w:id="816" w:name="_Toc40382850"/>
      <w:bookmarkStart w:id="817" w:name="_Toc40431049"/>
      <w:bookmarkStart w:id="818" w:name="_Toc40432987"/>
      <w:bookmarkStart w:id="819" w:name="_Toc40447672"/>
      <w:bookmarkStart w:id="820" w:name="_Toc40441201"/>
      <w:bookmarkStart w:id="821" w:name="_Toc40448537"/>
      <w:bookmarkStart w:id="822" w:name="_Toc40449965"/>
      <w:bookmarkStart w:id="823" w:name="_Toc40968309"/>
      <w:bookmarkStart w:id="824" w:name="_Toc41051031"/>
      <w:bookmarkStart w:id="825" w:name="_Toc41046031"/>
      <w:bookmarkStart w:id="826" w:name="_Toc41053489"/>
      <w:bookmarkStart w:id="827" w:name="_Toc44592660"/>
      <w:bookmarkStart w:id="828" w:name="_Toc44596172"/>
      <w:bookmarkStart w:id="829" w:name="_Toc44604567"/>
      <w:bookmarkStart w:id="830" w:name="_Toc54169716"/>
      <w:bookmarkStart w:id="831" w:name="_Toc56090005"/>
      <w:bookmarkStart w:id="832" w:name="_Toc38549492"/>
      <w:bookmarkStart w:id="833" w:name="_Toc38634150"/>
      <w:bookmarkStart w:id="834" w:name="_Toc39571031"/>
      <w:bookmarkStart w:id="835" w:name="_Toc39579286"/>
      <w:bookmarkStart w:id="836" w:name="_Toc39579349"/>
      <w:bookmarkStart w:id="837" w:name="_Toc39587107"/>
      <w:bookmarkStart w:id="838" w:name="_Toc39582499"/>
      <w:r>
        <w:t>4.</w:t>
      </w:r>
      <w:r w:rsidR="002F0C33">
        <w:t>5</w:t>
      </w:r>
      <w:r w:rsidR="005021AA">
        <w:tab/>
      </w:r>
      <w:r w:rsidR="00507D25">
        <w:t>Nutrition risk assessment conclusions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14:paraId="2B4DC1F1" w14:textId="54FE8E84" w:rsidR="00245DB2" w:rsidRDefault="00507D25" w:rsidP="00507D25">
      <w:pPr>
        <w:rPr>
          <w:lang w:bidi="ar-SA"/>
        </w:rPr>
      </w:pPr>
      <w:r>
        <w:rPr>
          <w:lang w:bidi="ar-SA"/>
        </w:rPr>
        <w:t xml:space="preserve">FSANZ concludes that rapeseed protein isolate, when used as a protein source </w:t>
      </w:r>
      <w:r w:rsidR="007A3EBD">
        <w:rPr>
          <w:lang w:bidi="ar-SA"/>
        </w:rPr>
        <w:t xml:space="preserve">in foods </w:t>
      </w:r>
      <w:r>
        <w:rPr>
          <w:lang w:bidi="ar-SA"/>
        </w:rPr>
        <w:t xml:space="preserve">at the </w:t>
      </w:r>
      <w:r w:rsidRPr="00EB1167">
        <w:rPr>
          <w:lang w:bidi="ar-SA"/>
        </w:rPr>
        <w:t>proposed</w:t>
      </w:r>
      <w:r>
        <w:rPr>
          <w:lang w:bidi="ar-SA"/>
        </w:rPr>
        <w:t xml:space="preserve"> </w:t>
      </w:r>
      <w:r w:rsidR="00E3603C">
        <w:rPr>
          <w:lang w:bidi="ar-SA"/>
        </w:rPr>
        <w:t>maximum</w:t>
      </w:r>
      <w:r w:rsidR="00EB1167">
        <w:rPr>
          <w:lang w:bidi="ar-SA"/>
        </w:rPr>
        <w:t xml:space="preserve"> or </w:t>
      </w:r>
      <w:r w:rsidR="00E3603C">
        <w:rPr>
          <w:lang w:bidi="ar-SA"/>
        </w:rPr>
        <w:t xml:space="preserve">typical </w:t>
      </w:r>
      <w:r>
        <w:rPr>
          <w:lang w:bidi="ar-SA"/>
        </w:rPr>
        <w:t xml:space="preserve">use levels, </w:t>
      </w:r>
      <w:r w:rsidR="00575C3B" w:rsidRPr="00575C3B">
        <w:rPr>
          <w:lang w:bidi="ar-SA"/>
        </w:rPr>
        <w:t>does not raise nutritional concerns</w:t>
      </w:r>
      <w:r w:rsidR="00E3603C">
        <w:rPr>
          <w:lang w:bidi="ar-SA"/>
        </w:rPr>
        <w:t>.</w:t>
      </w:r>
    </w:p>
    <w:p w14:paraId="3B74221F" w14:textId="77777777" w:rsidR="00245DB2" w:rsidRDefault="00245DB2" w:rsidP="00245DB2">
      <w:pPr>
        <w:rPr>
          <w:lang w:bidi="ar-SA"/>
        </w:rPr>
      </w:pPr>
    </w:p>
    <w:p w14:paraId="4653D976" w14:textId="2B051FA4" w:rsidR="009177D3" w:rsidRDefault="005D6C30" w:rsidP="00245DB2">
      <w:pPr>
        <w:rPr>
          <w:lang w:bidi="ar-SA"/>
        </w:rPr>
      </w:pPr>
      <w:r>
        <w:rPr>
          <w:lang w:bidi="ar-SA"/>
        </w:rPr>
        <w:t xml:space="preserve">The protein quality of rapeseed protein isolate, as determined from its amino acid profile and digestibility, is comparable to that of </w:t>
      </w:r>
      <w:r w:rsidR="00EC58E4">
        <w:rPr>
          <w:lang w:bidi="ar-SA"/>
        </w:rPr>
        <w:t xml:space="preserve">the milk protein casein </w:t>
      </w:r>
      <w:r w:rsidR="00561E92">
        <w:rPr>
          <w:lang w:bidi="ar-SA"/>
        </w:rPr>
        <w:t xml:space="preserve">and slightly higher than that of </w:t>
      </w:r>
      <w:r w:rsidR="00700B53">
        <w:rPr>
          <w:lang w:bidi="ar-SA"/>
        </w:rPr>
        <w:t>soy protein isolates.</w:t>
      </w:r>
    </w:p>
    <w:p w14:paraId="3527FBFF" w14:textId="12D6DC40" w:rsidR="009177D3" w:rsidRDefault="009177D3" w:rsidP="00245DB2">
      <w:pPr>
        <w:rPr>
          <w:lang w:bidi="ar-SA"/>
        </w:rPr>
      </w:pPr>
    </w:p>
    <w:p w14:paraId="57CC3FA4" w14:textId="0014EA11" w:rsidR="009177D3" w:rsidRDefault="009177D3" w:rsidP="00245DB2">
      <w:pPr>
        <w:rPr>
          <w:lang w:bidi="ar-SA"/>
        </w:rPr>
      </w:pPr>
      <w:r w:rsidRPr="009177D3">
        <w:rPr>
          <w:lang w:bidi="ar-SA"/>
        </w:rPr>
        <w:t xml:space="preserve">At </w:t>
      </w:r>
      <w:r w:rsidR="00AC0DAE">
        <w:rPr>
          <w:lang w:bidi="ar-SA"/>
        </w:rPr>
        <w:t>the highest typical</w:t>
      </w:r>
      <w:r w:rsidRPr="009177D3">
        <w:rPr>
          <w:lang w:bidi="ar-SA"/>
        </w:rPr>
        <w:t xml:space="preserve"> use level of </w:t>
      </w:r>
      <w:r w:rsidR="00EF7FA2">
        <w:rPr>
          <w:lang w:bidi="ar-SA"/>
        </w:rPr>
        <w:t>1</w:t>
      </w:r>
      <w:r w:rsidRPr="009177D3">
        <w:rPr>
          <w:lang w:bidi="ar-SA"/>
        </w:rPr>
        <w:t>0% in foods, the maximum phytate level in rapeseed protein isolate proposed in the application (1.5% w/w) equates to maximum levels in foods of 0.</w:t>
      </w:r>
      <w:r w:rsidR="00660EC5">
        <w:rPr>
          <w:lang w:bidi="ar-SA"/>
        </w:rPr>
        <w:t>1</w:t>
      </w:r>
      <w:r w:rsidRPr="009177D3">
        <w:rPr>
          <w:lang w:bidi="ar-SA"/>
        </w:rPr>
        <w:t xml:space="preserve">5%, which is </w:t>
      </w:r>
      <w:r w:rsidR="00695B66">
        <w:rPr>
          <w:lang w:bidi="ar-SA"/>
        </w:rPr>
        <w:t>close to</w:t>
      </w:r>
      <w:r w:rsidR="00695B66" w:rsidRPr="009177D3">
        <w:rPr>
          <w:lang w:bidi="ar-SA"/>
        </w:rPr>
        <w:t xml:space="preserve"> </w:t>
      </w:r>
      <w:r w:rsidRPr="009177D3">
        <w:rPr>
          <w:lang w:bidi="ar-SA"/>
        </w:rPr>
        <w:t xml:space="preserve">the </w:t>
      </w:r>
      <w:r w:rsidR="00695B66">
        <w:rPr>
          <w:lang w:bidi="ar-SA"/>
        </w:rPr>
        <w:t xml:space="preserve">lower end of the </w:t>
      </w:r>
      <w:r w:rsidRPr="009177D3">
        <w:rPr>
          <w:lang w:bidi="ar-SA"/>
        </w:rPr>
        <w:t>range reported for commonly consum</w:t>
      </w:r>
      <w:r w:rsidR="00E41BD5">
        <w:rPr>
          <w:lang w:bidi="ar-SA"/>
        </w:rPr>
        <w:t>ed foods such as cereals, beans</w:t>
      </w:r>
      <w:r w:rsidRPr="009177D3">
        <w:rPr>
          <w:lang w:bidi="ar-SA"/>
        </w:rPr>
        <w:t xml:space="preserve"> and nuts. Also, the maximum phytate level of 1.5% is similar to the maximum levels reported for soy protein isolates (1.5–1.7%)</w:t>
      </w:r>
      <w:r w:rsidR="00DC7412" w:rsidRPr="00DC7412">
        <w:t xml:space="preserve"> </w:t>
      </w:r>
      <w:r w:rsidR="00DC7412" w:rsidRPr="00DC7412">
        <w:rPr>
          <w:lang w:bidi="ar-SA"/>
        </w:rPr>
        <w:t>which are the most widely used plant protein isolates</w:t>
      </w:r>
      <w:r w:rsidRPr="009177D3">
        <w:rPr>
          <w:lang w:bidi="ar-SA"/>
        </w:rPr>
        <w:t>. Therefore, phytate levels of up to 1.5% in rapeseed protein isolate do not raise concerns regarding mineral bioavailability.</w:t>
      </w:r>
    </w:p>
    <w:p w14:paraId="3DF3B502" w14:textId="77777777" w:rsidR="005D6C30" w:rsidRDefault="005D6C30" w:rsidP="00507D25">
      <w:pPr>
        <w:rPr>
          <w:lang w:bidi="ar-SA"/>
        </w:rPr>
      </w:pPr>
    </w:p>
    <w:p w14:paraId="20057740" w14:textId="358BC3B3" w:rsidR="003E3306" w:rsidRDefault="00245DB2" w:rsidP="00507D25">
      <w:pPr>
        <w:rPr>
          <w:lang w:bidi="ar-SA"/>
        </w:rPr>
      </w:pPr>
      <w:r>
        <w:rPr>
          <w:lang w:bidi="ar-SA"/>
        </w:rPr>
        <w:t>A</w:t>
      </w:r>
      <w:r w:rsidR="00762BFB">
        <w:rPr>
          <w:lang w:bidi="ar-SA"/>
        </w:rPr>
        <w:t xml:space="preserve">s rapeseed protein isolate will be used as an ingredient in processed foods </w:t>
      </w:r>
      <w:r w:rsidR="00322F4C">
        <w:rPr>
          <w:lang w:bidi="ar-SA"/>
        </w:rPr>
        <w:t>as a replacement for</w:t>
      </w:r>
      <w:r w:rsidR="00762BFB">
        <w:rPr>
          <w:lang w:bidi="ar-SA"/>
        </w:rPr>
        <w:t xml:space="preserve"> </w:t>
      </w:r>
      <w:r w:rsidR="00322F4C">
        <w:rPr>
          <w:lang w:bidi="ar-SA"/>
        </w:rPr>
        <w:t xml:space="preserve">other </w:t>
      </w:r>
      <w:r w:rsidR="00762BFB">
        <w:rPr>
          <w:lang w:bidi="ar-SA"/>
        </w:rPr>
        <w:t>protein</w:t>
      </w:r>
      <w:r w:rsidR="00BB1E41">
        <w:rPr>
          <w:lang w:bidi="ar-SA"/>
        </w:rPr>
        <w:t xml:space="preserve"> sources</w:t>
      </w:r>
      <w:r w:rsidR="00762BFB">
        <w:rPr>
          <w:lang w:bidi="ar-SA"/>
        </w:rPr>
        <w:t xml:space="preserve">, </w:t>
      </w:r>
      <w:r w:rsidR="00660EC5">
        <w:t>including for use in new product development,</w:t>
      </w:r>
      <w:r w:rsidR="00660EC5">
        <w:rPr>
          <w:lang w:bidi="ar-SA"/>
        </w:rPr>
        <w:t xml:space="preserve"> </w:t>
      </w:r>
      <w:r w:rsidR="00762BFB">
        <w:rPr>
          <w:lang w:bidi="ar-SA"/>
        </w:rPr>
        <w:t>usual protein intakes are not expected to</w:t>
      </w:r>
      <w:r w:rsidR="00035F52">
        <w:rPr>
          <w:lang w:bidi="ar-SA"/>
        </w:rPr>
        <w:t xml:space="preserve"> change</w:t>
      </w:r>
      <w:r w:rsidR="00762BFB">
        <w:rPr>
          <w:lang w:bidi="ar-SA"/>
        </w:rPr>
        <w:t xml:space="preserve"> </w:t>
      </w:r>
      <w:r w:rsidR="00035F52">
        <w:rPr>
          <w:lang w:bidi="ar-SA"/>
        </w:rPr>
        <w:t xml:space="preserve">if </w:t>
      </w:r>
      <w:r w:rsidR="00762BFB">
        <w:rPr>
          <w:lang w:bidi="ar-SA"/>
        </w:rPr>
        <w:t xml:space="preserve">rapeseed protein isolate </w:t>
      </w:r>
      <w:r w:rsidR="00035F52">
        <w:rPr>
          <w:lang w:bidi="ar-SA"/>
        </w:rPr>
        <w:t xml:space="preserve">is approved </w:t>
      </w:r>
      <w:r w:rsidR="0073144D">
        <w:rPr>
          <w:lang w:bidi="ar-SA"/>
        </w:rPr>
        <w:t>as a protein source</w:t>
      </w:r>
      <w:r w:rsidR="00762BFB">
        <w:rPr>
          <w:lang w:bidi="ar-SA"/>
        </w:rPr>
        <w:t>.</w:t>
      </w:r>
    </w:p>
    <w:p w14:paraId="0EFABFFE" w14:textId="7AC95600" w:rsidR="00A36783" w:rsidRPr="00DB50CE" w:rsidRDefault="00425C6A" w:rsidP="005021AA">
      <w:pPr>
        <w:pStyle w:val="Heading1"/>
        <w:numPr>
          <w:ilvl w:val="0"/>
          <w:numId w:val="4"/>
        </w:numPr>
        <w:ind w:left="851" w:hanging="851"/>
      </w:pPr>
      <w:bookmarkStart w:id="839" w:name="_Toc40264918"/>
      <w:bookmarkStart w:id="840" w:name="_Toc40266394"/>
      <w:bookmarkStart w:id="841" w:name="_Toc40279727"/>
      <w:bookmarkStart w:id="842" w:name="_Toc40282029"/>
      <w:bookmarkStart w:id="843" w:name="_Toc40282191"/>
      <w:bookmarkStart w:id="844" w:name="_Toc40360522"/>
      <w:bookmarkStart w:id="845" w:name="_Toc40353565"/>
      <w:bookmarkStart w:id="846" w:name="_Toc40366912"/>
      <w:bookmarkStart w:id="847" w:name="_Toc40368244"/>
      <w:bookmarkStart w:id="848" w:name="_Toc40382851"/>
      <w:bookmarkStart w:id="849" w:name="_Toc40431050"/>
      <w:bookmarkStart w:id="850" w:name="_Toc40432988"/>
      <w:bookmarkStart w:id="851" w:name="_Toc40447673"/>
      <w:bookmarkStart w:id="852" w:name="_Toc40441202"/>
      <w:bookmarkStart w:id="853" w:name="_Toc40448538"/>
      <w:bookmarkStart w:id="854" w:name="_Toc40449966"/>
      <w:bookmarkStart w:id="855" w:name="_Toc40968310"/>
      <w:bookmarkStart w:id="856" w:name="_Toc41051032"/>
      <w:bookmarkStart w:id="857" w:name="_Toc41046032"/>
      <w:bookmarkStart w:id="858" w:name="_Toc41053490"/>
      <w:bookmarkStart w:id="859" w:name="_Toc44592661"/>
      <w:bookmarkStart w:id="860" w:name="_Toc44596173"/>
      <w:bookmarkStart w:id="861" w:name="_Toc44604568"/>
      <w:bookmarkStart w:id="862" w:name="_Toc54169717"/>
      <w:bookmarkStart w:id="863" w:name="_Toc56090006"/>
      <w:r>
        <w:t>Toxicological</w:t>
      </w:r>
      <w:r w:rsidR="00A36783">
        <w:t xml:space="preserve"> assessment</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57C95231" w14:textId="0333F128" w:rsidR="00A36783" w:rsidRDefault="00DB50CE" w:rsidP="00E41BD5">
      <w:pPr>
        <w:pStyle w:val="Heading2"/>
      </w:pPr>
      <w:bookmarkStart w:id="864" w:name="_Toc38549493"/>
      <w:bookmarkStart w:id="865" w:name="_Toc38634151"/>
      <w:bookmarkStart w:id="866" w:name="_Toc39571032"/>
      <w:bookmarkStart w:id="867" w:name="_Toc39579287"/>
      <w:bookmarkStart w:id="868" w:name="_Toc39579350"/>
      <w:bookmarkStart w:id="869" w:name="_Toc39587108"/>
      <w:bookmarkStart w:id="870" w:name="_Toc39582500"/>
      <w:bookmarkStart w:id="871" w:name="_Toc40264919"/>
      <w:bookmarkStart w:id="872" w:name="_Toc40266395"/>
      <w:bookmarkStart w:id="873" w:name="_Toc40279728"/>
      <w:bookmarkStart w:id="874" w:name="_Toc40282030"/>
      <w:bookmarkStart w:id="875" w:name="_Toc40282192"/>
      <w:bookmarkStart w:id="876" w:name="_Toc40360523"/>
      <w:bookmarkStart w:id="877" w:name="_Toc40353566"/>
      <w:bookmarkStart w:id="878" w:name="_Toc40366913"/>
      <w:bookmarkStart w:id="879" w:name="_Toc40368245"/>
      <w:bookmarkStart w:id="880" w:name="_Toc40382852"/>
      <w:bookmarkStart w:id="881" w:name="_Toc40431051"/>
      <w:bookmarkStart w:id="882" w:name="_Toc40432989"/>
      <w:bookmarkStart w:id="883" w:name="_Toc40447674"/>
      <w:bookmarkStart w:id="884" w:name="_Toc40441203"/>
      <w:bookmarkStart w:id="885" w:name="_Toc40448539"/>
      <w:bookmarkStart w:id="886" w:name="_Toc40449967"/>
      <w:bookmarkStart w:id="887" w:name="_Toc40968311"/>
      <w:bookmarkStart w:id="888" w:name="_Toc41051033"/>
      <w:bookmarkStart w:id="889" w:name="_Toc41046033"/>
      <w:bookmarkStart w:id="890" w:name="_Toc41053491"/>
      <w:bookmarkStart w:id="891" w:name="_Toc44592662"/>
      <w:bookmarkStart w:id="892" w:name="_Toc44596174"/>
      <w:bookmarkStart w:id="893" w:name="_Toc44604569"/>
      <w:bookmarkStart w:id="894" w:name="_Toc54169718"/>
      <w:bookmarkStart w:id="895" w:name="_Toc56090007"/>
      <w:r>
        <w:t>5</w:t>
      </w:r>
      <w:r w:rsidR="00A36783">
        <w:t>.1</w:t>
      </w:r>
      <w:r w:rsidR="005021AA">
        <w:tab/>
      </w:r>
      <w:r w:rsidR="00A36783">
        <w:t xml:space="preserve">Objective </w:t>
      </w:r>
      <w:r w:rsidR="001B79C3">
        <w:t>and scope of</w:t>
      </w:r>
      <w:r w:rsidR="00A36783">
        <w:t xml:space="preserve"> the </w:t>
      </w:r>
      <w:r w:rsidR="00425C6A">
        <w:t>toxicological</w:t>
      </w:r>
      <w:r w:rsidR="00A36783">
        <w:t xml:space="preserve"> assessment</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14:paraId="35733E28" w14:textId="3853EAE9" w:rsidR="005D3885" w:rsidRDefault="005D3885" w:rsidP="00810A6B">
      <w:pPr>
        <w:rPr>
          <w:lang w:bidi="ar-SA"/>
        </w:rPr>
      </w:pPr>
      <w:r>
        <w:rPr>
          <w:lang w:bidi="ar-SA"/>
        </w:rPr>
        <w:t>R</w:t>
      </w:r>
      <w:r w:rsidR="00670E0F">
        <w:rPr>
          <w:lang w:bidi="ar-SA"/>
        </w:rPr>
        <w:t xml:space="preserve">apeseed protein isolate and other members of the </w:t>
      </w:r>
      <w:r w:rsidR="000A03E8" w:rsidRPr="000A03E8">
        <w:rPr>
          <w:i/>
          <w:lang w:bidi="ar-SA"/>
        </w:rPr>
        <w:t>Brassicaceae</w:t>
      </w:r>
      <w:r w:rsidR="00670E0F">
        <w:rPr>
          <w:lang w:bidi="ar-SA"/>
        </w:rPr>
        <w:t xml:space="preserve"> family contain ant</w:t>
      </w:r>
      <w:r w:rsidR="00EF29D1">
        <w:rPr>
          <w:lang w:bidi="ar-SA"/>
        </w:rPr>
        <w:t>i</w:t>
      </w:r>
      <w:r w:rsidR="00670E0F">
        <w:rPr>
          <w:lang w:bidi="ar-SA"/>
        </w:rPr>
        <w:t xml:space="preserve">-nutritional compounds </w:t>
      </w:r>
      <w:r w:rsidR="0041039E">
        <w:rPr>
          <w:lang w:bidi="ar-SA"/>
        </w:rPr>
        <w:t>including erucic acid, phenolic compounds</w:t>
      </w:r>
      <w:r w:rsidR="00670E0F">
        <w:rPr>
          <w:lang w:bidi="ar-SA"/>
        </w:rPr>
        <w:t xml:space="preserve">, phytic acid, glucosinolates, and protease inhibitors. </w:t>
      </w:r>
      <w:r>
        <w:rPr>
          <w:lang w:bidi="ar-SA"/>
        </w:rPr>
        <w:t>The objective of this section is to assess whether the levels of erucic acid</w:t>
      </w:r>
      <w:r w:rsidR="00B8706D">
        <w:rPr>
          <w:lang w:bidi="ar-SA"/>
        </w:rPr>
        <w:t xml:space="preserve"> or</w:t>
      </w:r>
      <w:r>
        <w:rPr>
          <w:lang w:bidi="ar-SA"/>
        </w:rPr>
        <w:t xml:space="preserve"> glucosinolates in rap</w:t>
      </w:r>
      <w:r w:rsidR="00EF29D1">
        <w:rPr>
          <w:lang w:bidi="ar-SA"/>
        </w:rPr>
        <w:t>e</w:t>
      </w:r>
      <w:r>
        <w:rPr>
          <w:lang w:bidi="ar-SA"/>
        </w:rPr>
        <w:t>se</w:t>
      </w:r>
      <w:r w:rsidR="0041039E">
        <w:rPr>
          <w:lang w:bidi="ar-SA"/>
        </w:rPr>
        <w:t>ed protein isolate pose</w:t>
      </w:r>
      <w:r>
        <w:rPr>
          <w:lang w:bidi="ar-SA"/>
        </w:rPr>
        <w:t xml:space="preserve"> any toxicological concerns.</w:t>
      </w:r>
      <w:r w:rsidR="0041039E">
        <w:rPr>
          <w:lang w:bidi="ar-SA"/>
        </w:rPr>
        <w:t xml:space="preserve"> The </w:t>
      </w:r>
      <w:r w:rsidR="00B44897">
        <w:rPr>
          <w:lang w:bidi="ar-SA"/>
        </w:rPr>
        <w:t xml:space="preserve">potential </w:t>
      </w:r>
      <w:r w:rsidR="0041039E">
        <w:rPr>
          <w:lang w:bidi="ar-SA"/>
        </w:rPr>
        <w:t>al</w:t>
      </w:r>
      <w:r w:rsidR="00B44897">
        <w:rPr>
          <w:lang w:bidi="ar-SA"/>
        </w:rPr>
        <w:t>lergenicity or rapeseed protein isolate has also been assessed.</w:t>
      </w:r>
    </w:p>
    <w:p w14:paraId="79966234" w14:textId="1D12B9A6" w:rsidR="005D3885" w:rsidRDefault="005D3885" w:rsidP="00E41BD5">
      <w:pPr>
        <w:pStyle w:val="Heading2"/>
      </w:pPr>
      <w:bookmarkStart w:id="896" w:name="_Toc40360524"/>
      <w:bookmarkStart w:id="897" w:name="_Toc40353567"/>
      <w:bookmarkStart w:id="898" w:name="_Toc40366914"/>
      <w:bookmarkStart w:id="899" w:name="_Toc40368246"/>
      <w:bookmarkStart w:id="900" w:name="_Toc40382853"/>
      <w:bookmarkStart w:id="901" w:name="_Toc40431052"/>
      <w:bookmarkStart w:id="902" w:name="_Toc40432990"/>
      <w:bookmarkStart w:id="903" w:name="_Toc40447675"/>
      <w:bookmarkStart w:id="904" w:name="_Toc40441204"/>
      <w:bookmarkStart w:id="905" w:name="_Toc40448540"/>
      <w:bookmarkStart w:id="906" w:name="_Toc40449968"/>
      <w:bookmarkStart w:id="907" w:name="_Toc40968312"/>
      <w:bookmarkStart w:id="908" w:name="_Toc41051034"/>
      <w:bookmarkStart w:id="909" w:name="_Toc41046034"/>
      <w:bookmarkStart w:id="910" w:name="_Toc41053492"/>
      <w:bookmarkStart w:id="911" w:name="_Toc44592663"/>
      <w:bookmarkStart w:id="912" w:name="_Toc44596175"/>
      <w:bookmarkStart w:id="913" w:name="_Toc44604570"/>
      <w:bookmarkStart w:id="914" w:name="_Toc54169719"/>
      <w:bookmarkStart w:id="915" w:name="_Toc56090008"/>
      <w:r>
        <w:t>5.2</w:t>
      </w:r>
      <w:r w:rsidR="005021AA">
        <w:tab/>
      </w:r>
      <w:r>
        <w:t>Toxicological data</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19426B04" w14:textId="74155EAF" w:rsidR="005D3885" w:rsidRDefault="005D3885" w:rsidP="00614DC8">
      <w:pPr>
        <w:pStyle w:val="Heading3"/>
      </w:pPr>
      <w:bookmarkStart w:id="916" w:name="_Toc40360525"/>
      <w:bookmarkStart w:id="917" w:name="_Toc40353568"/>
      <w:bookmarkStart w:id="918" w:name="_Toc40366915"/>
      <w:bookmarkStart w:id="919" w:name="_Toc40368247"/>
      <w:bookmarkStart w:id="920" w:name="_Toc40382854"/>
      <w:bookmarkStart w:id="921" w:name="_Toc40431053"/>
      <w:bookmarkStart w:id="922" w:name="_Toc40432991"/>
      <w:bookmarkStart w:id="923" w:name="_Toc40447676"/>
      <w:bookmarkStart w:id="924" w:name="_Toc40441205"/>
      <w:bookmarkStart w:id="925" w:name="_Toc40448541"/>
      <w:bookmarkStart w:id="926" w:name="_Toc40449969"/>
      <w:bookmarkStart w:id="927" w:name="_Toc40968313"/>
      <w:bookmarkStart w:id="928" w:name="_Toc41051035"/>
      <w:bookmarkStart w:id="929" w:name="_Toc41046035"/>
      <w:bookmarkStart w:id="930" w:name="_Toc41053493"/>
      <w:bookmarkStart w:id="931" w:name="_Toc44592664"/>
      <w:bookmarkStart w:id="932" w:name="_Toc44596176"/>
      <w:bookmarkStart w:id="933" w:name="_Toc44604571"/>
      <w:bookmarkStart w:id="934" w:name="_Toc54169720"/>
      <w:bookmarkStart w:id="935" w:name="_Toc56090009"/>
      <w:r>
        <w:t>5.2.1</w:t>
      </w:r>
      <w:r w:rsidR="005021AA">
        <w:tab/>
      </w:r>
      <w:r w:rsidRPr="00817B22">
        <w:t>Erucic acid</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1C4111D3" w14:textId="69C68C9D" w:rsidR="005D3885" w:rsidRDefault="005D3885" w:rsidP="005D3885">
      <w:pPr>
        <w:rPr>
          <w:lang w:bidi="ar-SA"/>
        </w:rPr>
      </w:pPr>
      <w:r>
        <w:rPr>
          <w:lang w:bidi="ar-SA"/>
        </w:rPr>
        <w:t>Erucic acid is a 22–carbon monounsaturated fatty acid with a single double bond at the omega 9 position. It constitutes about 30–60% of the total fatty acids of rapeseed, mustard seed and wallflower seed and up to 80% of the total fatty ac</w:t>
      </w:r>
      <w:r w:rsidR="0041039E">
        <w:rPr>
          <w:lang w:bidi="ar-SA"/>
        </w:rPr>
        <w:t xml:space="preserve">ids of nasturtium seeds. Erucic </w:t>
      </w:r>
      <w:r>
        <w:rPr>
          <w:lang w:bidi="ar-SA"/>
        </w:rPr>
        <w:t>acid has also been found in some marine animal oils.</w:t>
      </w:r>
    </w:p>
    <w:p w14:paraId="075588DF" w14:textId="77777777" w:rsidR="005D3885" w:rsidRDefault="005D3885" w:rsidP="005D3885">
      <w:pPr>
        <w:rPr>
          <w:lang w:bidi="ar-SA"/>
        </w:rPr>
      </w:pPr>
    </w:p>
    <w:p w14:paraId="6EAEFF53" w14:textId="328F2433" w:rsidR="0059780A" w:rsidRDefault="005D3885" w:rsidP="005D3885">
      <w:pPr>
        <w:rPr>
          <w:lang w:bidi="ar-SA"/>
        </w:rPr>
      </w:pPr>
      <w:r>
        <w:rPr>
          <w:lang w:bidi="ar-SA"/>
        </w:rPr>
        <w:t>FSANZ conducted a toxicological review and risk assessment of erucic acid in 2003 and established a provisional tolerable daily intake for erucic acid of 7.5 mg/kg bw on the basis of myocardial lipidosis observed in neonatal piglets. The PTDI was based on a no observed effect level (NOEL)</w:t>
      </w:r>
      <w:r w:rsidRPr="009C59E2">
        <w:rPr>
          <w:lang w:bidi="ar-SA"/>
        </w:rPr>
        <w:t xml:space="preserve"> of 750 mg/kg bw/day</w:t>
      </w:r>
      <w:r>
        <w:rPr>
          <w:lang w:bidi="ar-SA"/>
        </w:rPr>
        <w:t xml:space="preserve"> and the application of a 100-fold uncertainty factor. FSANZ noted at the time that the effect appeared to be transient and reversible, and that epidemiological studies show no association between cardiac disease in humans and a diet high in erucic acid. </w:t>
      </w:r>
      <w:r w:rsidR="0041039E" w:rsidRPr="00D663E3">
        <w:rPr>
          <w:lang w:bidi="ar-SA"/>
        </w:rPr>
        <w:t>The full report is available at:</w:t>
      </w:r>
      <w:r w:rsidR="0041039E">
        <w:rPr>
          <w:lang w:bidi="ar-SA"/>
        </w:rPr>
        <w:t xml:space="preserve"> </w:t>
      </w:r>
      <w:hyperlink r:id="rId17" w:history="1">
        <w:r w:rsidR="0059780A" w:rsidRPr="006E0BDA">
          <w:rPr>
            <w:rStyle w:val="Hyperlink"/>
            <w:lang w:bidi="ar-SA"/>
          </w:rPr>
          <w:t>https://www.foodstandards.gov.au/publications/Documents/Erucic%20acid%20monograph.pdf</w:t>
        </w:r>
      </w:hyperlink>
      <w:r w:rsidR="0059780A">
        <w:rPr>
          <w:lang w:bidi="ar-SA"/>
        </w:rPr>
        <w:t>.</w:t>
      </w:r>
    </w:p>
    <w:p w14:paraId="35318092" w14:textId="77777777" w:rsidR="005D3885" w:rsidRDefault="005D3885" w:rsidP="005D3885">
      <w:pPr>
        <w:rPr>
          <w:lang w:bidi="ar-SA"/>
        </w:rPr>
      </w:pPr>
    </w:p>
    <w:p w14:paraId="471E39AE" w14:textId="4D432C02" w:rsidR="005D3885" w:rsidRDefault="005D3885" w:rsidP="005D3885">
      <w:pPr>
        <w:rPr>
          <w:lang w:bidi="ar-SA"/>
        </w:rPr>
      </w:pPr>
      <w:r>
        <w:rPr>
          <w:lang w:bidi="ar-SA"/>
        </w:rPr>
        <w:t>EFSA (2016) identified a TDI for erucic acid of 7 mg/kg bw/day, also based on lesions of myocardial lipidosis in rats and in neonatal piglets, but noted that in human beings, an inverse relationship between erucic acid in erythrocytes and coronary heart disease has been observed in two independent cohorts (</w:t>
      </w:r>
      <w:r w:rsidDel="009C59E2">
        <w:rPr>
          <w:lang w:bidi="ar-SA"/>
        </w:rPr>
        <w:t xml:space="preserve">EFSA </w:t>
      </w:r>
      <w:r>
        <w:rPr>
          <w:lang w:bidi="ar-SA"/>
        </w:rPr>
        <w:t>2016).</w:t>
      </w:r>
    </w:p>
    <w:p w14:paraId="24FC2D35" w14:textId="7FA5A051" w:rsidR="00B44897" w:rsidRDefault="00B44897" w:rsidP="005D3885">
      <w:pPr>
        <w:rPr>
          <w:lang w:bidi="ar-SA"/>
        </w:rPr>
      </w:pPr>
    </w:p>
    <w:p w14:paraId="100449C7" w14:textId="64790EB5" w:rsidR="00B44897" w:rsidRPr="00D56E25" w:rsidRDefault="00643B3C" w:rsidP="005D3885">
      <w:pPr>
        <w:rPr>
          <w:lang w:bidi="ar-SA"/>
        </w:rPr>
      </w:pPr>
      <w:r w:rsidRPr="00D56E25">
        <w:rPr>
          <w:lang w:bidi="ar-SA"/>
        </w:rPr>
        <w:t>A literature search did not identify any new studies</w:t>
      </w:r>
      <w:r w:rsidR="00B44897" w:rsidRPr="00D56E25">
        <w:rPr>
          <w:lang w:bidi="ar-SA"/>
        </w:rPr>
        <w:t xml:space="preserve"> that would warrant a review of </w:t>
      </w:r>
      <w:r w:rsidR="00AC0DAE">
        <w:rPr>
          <w:lang w:bidi="ar-SA"/>
        </w:rPr>
        <w:t>the FSANZ PTDI</w:t>
      </w:r>
      <w:r w:rsidR="00CE16DF">
        <w:rPr>
          <w:lang w:bidi="ar-SA"/>
        </w:rPr>
        <w:t>.</w:t>
      </w:r>
    </w:p>
    <w:p w14:paraId="36DB63FD" w14:textId="28E728CA" w:rsidR="00A53F5B" w:rsidRPr="00D56E25" w:rsidRDefault="00A53F5B" w:rsidP="005D3885">
      <w:pPr>
        <w:rPr>
          <w:lang w:bidi="ar-SA"/>
        </w:rPr>
      </w:pPr>
    </w:p>
    <w:p w14:paraId="467AC3FB" w14:textId="5099F095" w:rsidR="00B44897" w:rsidRDefault="00A53F5B" w:rsidP="00B44897">
      <w:pPr>
        <w:rPr>
          <w:lang w:bidi="ar-SA"/>
        </w:rPr>
      </w:pPr>
      <w:r w:rsidRPr="00A53F5B">
        <w:rPr>
          <w:lang w:bidi="ar-SA"/>
        </w:rPr>
        <w:t>FSANZ has conducted a Dietary Exposure Assessment (</w:t>
      </w:r>
      <w:r w:rsidR="00322F4C">
        <w:rPr>
          <w:lang w:bidi="ar-SA"/>
        </w:rPr>
        <w:t>r</w:t>
      </w:r>
      <w:r w:rsidRPr="00A53F5B">
        <w:rPr>
          <w:lang w:bidi="ar-SA"/>
        </w:rPr>
        <w:t>efer to section 6) to estimate the di</w:t>
      </w:r>
      <w:r>
        <w:rPr>
          <w:lang w:bidi="ar-SA"/>
        </w:rPr>
        <w:t>etary exposure to erucic acid</w:t>
      </w:r>
      <w:r w:rsidRPr="00A53F5B">
        <w:rPr>
          <w:lang w:bidi="ar-SA"/>
        </w:rPr>
        <w:t xml:space="preserve"> of Australi</w:t>
      </w:r>
      <w:r>
        <w:rPr>
          <w:lang w:bidi="ar-SA"/>
        </w:rPr>
        <w:t>an and New Zealand consumers from rapeseed protein isolate. The exposure</w:t>
      </w:r>
      <w:r w:rsidRPr="00A53F5B">
        <w:rPr>
          <w:lang w:bidi="ar-SA"/>
        </w:rPr>
        <w:t xml:space="preserve"> was not considered to represent a public health concern as dietary exposure estimates </w:t>
      </w:r>
      <w:r w:rsidR="00760C7F">
        <w:rPr>
          <w:lang w:bidi="ar-SA"/>
        </w:rPr>
        <w:t xml:space="preserve">based on both the proposed maximum and typical use levels </w:t>
      </w:r>
      <w:r w:rsidRPr="00A53F5B">
        <w:rPr>
          <w:lang w:bidi="ar-SA"/>
        </w:rPr>
        <w:t xml:space="preserve">were well below the </w:t>
      </w:r>
      <w:r>
        <w:rPr>
          <w:lang w:bidi="ar-SA"/>
        </w:rPr>
        <w:t>PTDI</w:t>
      </w:r>
      <w:r w:rsidRPr="00A53F5B">
        <w:rPr>
          <w:lang w:bidi="ar-SA"/>
        </w:rPr>
        <w:t xml:space="preserve"> estab</w:t>
      </w:r>
      <w:r>
        <w:rPr>
          <w:lang w:bidi="ar-SA"/>
        </w:rPr>
        <w:t>lished by FSANZ in 2003 of 7.5</w:t>
      </w:r>
      <w:r w:rsidR="000355AB">
        <w:rPr>
          <w:lang w:bidi="ar-SA"/>
        </w:rPr>
        <w:t> </w:t>
      </w:r>
      <w:r w:rsidRPr="00A53F5B">
        <w:rPr>
          <w:lang w:bidi="ar-SA"/>
        </w:rPr>
        <w:t>mg/kg bw.</w:t>
      </w:r>
    </w:p>
    <w:p w14:paraId="6EBD5391" w14:textId="40362222" w:rsidR="00B44897" w:rsidRPr="00E3263F" w:rsidRDefault="00B44897" w:rsidP="00614DC8">
      <w:pPr>
        <w:pStyle w:val="Heading3"/>
      </w:pPr>
      <w:bookmarkStart w:id="936" w:name="_Toc40360526"/>
      <w:bookmarkStart w:id="937" w:name="_Toc40353569"/>
      <w:bookmarkStart w:id="938" w:name="_Toc40366916"/>
      <w:bookmarkStart w:id="939" w:name="_Toc40368248"/>
      <w:bookmarkStart w:id="940" w:name="_Toc40382855"/>
      <w:bookmarkStart w:id="941" w:name="_Toc40431054"/>
      <w:bookmarkStart w:id="942" w:name="_Toc40432992"/>
      <w:bookmarkStart w:id="943" w:name="_Toc40447677"/>
      <w:bookmarkStart w:id="944" w:name="_Toc40441206"/>
      <w:bookmarkStart w:id="945" w:name="_Toc40448542"/>
      <w:bookmarkStart w:id="946" w:name="_Toc40449970"/>
      <w:bookmarkStart w:id="947" w:name="_Toc40968314"/>
      <w:bookmarkStart w:id="948" w:name="_Toc41051036"/>
      <w:bookmarkStart w:id="949" w:name="_Toc41046036"/>
      <w:bookmarkStart w:id="950" w:name="_Toc41053494"/>
      <w:bookmarkStart w:id="951" w:name="_Toc44592665"/>
      <w:bookmarkStart w:id="952" w:name="_Toc44596177"/>
      <w:bookmarkStart w:id="953" w:name="_Toc44604572"/>
      <w:bookmarkStart w:id="954" w:name="_Toc54169721"/>
      <w:bookmarkStart w:id="955" w:name="_Toc56090010"/>
      <w:r>
        <w:t>5.2.2</w:t>
      </w:r>
      <w:r w:rsidR="005021AA">
        <w:tab/>
      </w:r>
      <w:r w:rsidRPr="002C2A97">
        <w:t>Glucosinolates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5A8A579A" w14:textId="68850249" w:rsidR="00643B3C" w:rsidRDefault="0056087E" w:rsidP="00B44897">
      <w:pPr>
        <w:rPr>
          <w:lang w:bidi="ar-SA"/>
        </w:rPr>
      </w:pPr>
      <w:r>
        <w:rPr>
          <w:lang w:bidi="ar-SA"/>
        </w:rPr>
        <w:t xml:space="preserve">Glucosinolates are a class of </w:t>
      </w:r>
      <w:r w:rsidRPr="0056087E">
        <w:rPr>
          <w:i/>
          <w:lang w:bidi="ar-SA"/>
        </w:rPr>
        <w:t>S</w:t>
      </w:r>
      <w:r>
        <w:rPr>
          <w:lang w:bidi="ar-SA"/>
        </w:rPr>
        <w:t>-</w:t>
      </w:r>
      <w:r>
        <w:rPr>
          <w:rFonts w:cs="Arial"/>
          <w:lang w:bidi="ar-SA"/>
        </w:rPr>
        <w:t xml:space="preserve">β-thioglucoside </w:t>
      </w:r>
      <w:r w:rsidRPr="0056087E">
        <w:rPr>
          <w:rFonts w:cs="Arial"/>
          <w:i/>
          <w:lang w:bidi="ar-SA"/>
        </w:rPr>
        <w:t>N</w:t>
      </w:r>
      <w:r>
        <w:rPr>
          <w:rFonts w:cs="Arial"/>
          <w:lang w:bidi="ar-SA"/>
        </w:rPr>
        <w:t xml:space="preserve">-hydroxysulphate structures. More than 120 glucosinolates have been identified, with most isolated from </w:t>
      </w:r>
      <w:r w:rsidRPr="0056087E">
        <w:rPr>
          <w:rFonts w:cs="Arial"/>
          <w:i/>
          <w:lang w:bidi="ar-SA"/>
        </w:rPr>
        <w:t>Brassicaceae</w:t>
      </w:r>
      <w:r>
        <w:rPr>
          <w:rFonts w:cs="Arial"/>
          <w:lang w:bidi="ar-SA"/>
        </w:rPr>
        <w:t xml:space="preserve"> (cruciferous plants). In intact plants, glucosinolates are accompanied by, but physically separated from, β-thioglucosidase enzymes (</w:t>
      </w:r>
      <w:r w:rsidR="000355AB">
        <w:rPr>
          <w:rFonts w:cs="Arial"/>
          <w:lang w:bidi="ar-SA"/>
        </w:rPr>
        <w:fldChar w:fldCharType="begin" w:fldLock="1"/>
      </w:r>
      <w:r w:rsidR="000355AB">
        <w:rPr>
          <w:rFonts w:cs="Arial"/>
          <w:lang w:bidi="ar-SA"/>
        </w:rPr>
        <w:instrText xml:space="preserve"> DOCPROPERTY bjHeaderBothDocProperty \* MERGEFORMAT </w:instrText>
      </w:r>
      <w:r w:rsidR="000355AB">
        <w:rPr>
          <w:rFonts w:cs="Arial"/>
          <w:lang w:bidi="ar-SA"/>
        </w:rPr>
        <w:fldChar w:fldCharType="end"/>
      </w:r>
      <w:r>
        <w:rPr>
          <w:rFonts w:cs="Arial"/>
          <w:lang w:bidi="ar-SA"/>
        </w:rPr>
        <w:t>myrosinases). When plant tissue is damaged, the enzymes come in contact with the glucosinolates and rapid hydrolysis occurs, with the production of reactive metabolites including isothiocyanates. Conversion of glucosinolates to isothiocyanates and other metabolites is also mediated by bacterial flora in human intestines (Dinkova-Kostova and Kostov 2012).</w:t>
      </w:r>
    </w:p>
    <w:p w14:paraId="397F55A6" w14:textId="77777777" w:rsidR="00643B3C" w:rsidRDefault="00643B3C" w:rsidP="00B44897">
      <w:pPr>
        <w:rPr>
          <w:lang w:bidi="ar-SA"/>
        </w:rPr>
      </w:pPr>
    </w:p>
    <w:p w14:paraId="4903B116" w14:textId="6E18A3AF" w:rsidR="00643B3C" w:rsidRDefault="00643B3C" w:rsidP="00B44897">
      <w:pPr>
        <w:rPr>
          <w:lang w:bidi="ar-SA"/>
        </w:rPr>
      </w:pPr>
      <w:r w:rsidRPr="00643B3C">
        <w:rPr>
          <w:lang w:bidi="ar-SA"/>
        </w:rPr>
        <w:t xml:space="preserve">In human beings, metabolites of glucosinolates including </w:t>
      </w:r>
      <w:r w:rsidR="0056087E">
        <w:rPr>
          <w:lang w:bidi="ar-SA"/>
        </w:rPr>
        <w:t>isothiocyanates</w:t>
      </w:r>
      <w:r w:rsidRPr="00643B3C">
        <w:rPr>
          <w:lang w:bidi="ar-SA"/>
        </w:rPr>
        <w:t>, thiocyanates and 5-vinyloxazolidine-2-thione inhibit iodine absorption by the thyroid gland (Downey 2005). Similar anti-thyroidal effects have been demonstrated in rats fed rapeseed proteins containing high levels of glucosinolates, but these effects were not observed in rats fed rapeseed protein isolates containing 30 ppm glucosinolates (Loew et al</w:t>
      </w:r>
      <w:r w:rsidR="00C11A91">
        <w:rPr>
          <w:lang w:bidi="ar-SA"/>
        </w:rPr>
        <w:t>.</w:t>
      </w:r>
      <w:r w:rsidRPr="00643B3C">
        <w:rPr>
          <w:lang w:bidi="ar-SA"/>
        </w:rPr>
        <w:t xml:space="preserve"> 1976).</w:t>
      </w:r>
    </w:p>
    <w:p w14:paraId="658FBB01" w14:textId="40C95FD3" w:rsidR="00643B3C" w:rsidRDefault="00643B3C" w:rsidP="00B44897">
      <w:pPr>
        <w:rPr>
          <w:lang w:bidi="ar-SA"/>
        </w:rPr>
      </w:pPr>
    </w:p>
    <w:p w14:paraId="51D359AD" w14:textId="311F7102" w:rsidR="00B44897" w:rsidRDefault="00B44897" w:rsidP="00B44897">
      <w:pPr>
        <w:rPr>
          <w:lang w:bidi="ar-SA"/>
        </w:rPr>
      </w:pPr>
      <w:r>
        <w:rPr>
          <w:lang w:bidi="ar-SA"/>
        </w:rPr>
        <w:t xml:space="preserve">FSANZ has considered glucosinolates in genetically modified canola species in a number of previous applications (A363, A372, A388, A1071, A1089, A1140, A1143) and has cited a regulatory limit </w:t>
      </w:r>
      <w:r w:rsidRPr="005E5A13">
        <w:rPr>
          <w:lang w:bidi="ar-SA"/>
        </w:rPr>
        <w:t>(AOF 2015)</w:t>
      </w:r>
      <w:r>
        <w:rPr>
          <w:lang w:bidi="ar-SA"/>
        </w:rPr>
        <w:t xml:space="preserve"> for glucosinolates in canola meal for feeding to livestock of &lt;30 </w:t>
      </w:r>
      <w:r>
        <w:rPr>
          <w:rFonts w:cs="Arial"/>
          <w:lang w:bidi="ar-SA"/>
        </w:rPr>
        <w:t>µ</w:t>
      </w:r>
      <w:r>
        <w:rPr>
          <w:lang w:bidi="ar-SA"/>
        </w:rPr>
        <w:t>mol/g in oil-free, air-dried meal. This limit is based on goitrogenic properties of glucosinolates.</w:t>
      </w:r>
      <w:r w:rsidR="00643B3C">
        <w:rPr>
          <w:lang w:bidi="ar-SA"/>
        </w:rPr>
        <w:t xml:space="preserve"> </w:t>
      </w:r>
      <w:r w:rsidRPr="008F5216">
        <w:rPr>
          <w:lang w:bidi="ar-SA"/>
        </w:rPr>
        <w:t>Analysis of five independ</w:t>
      </w:r>
      <w:r>
        <w:rPr>
          <w:lang w:bidi="ar-SA"/>
        </w:rPr>
        <w:t xml:space="preserve">ent, representative batches of </w:t>
      </w:r>
      <w:r w:rsidRPr="008F5216">
        <w:rPr>
          <w:lang w:bidi="ar-SA"/>
        </w:rPr>
        <w:t xml:space="preserve">CanolaPRO showed that in all five batches, </w:t>
      </w:r>
      <w:r>
        <w:rPr>
          <w:lang w:bidi="ar-SA"/>
        </w:rPr>
        <w:t xml:space="preserve">concentrations of glucosinolates were </w:t>
      </w:r>
      <w:r w:rsidRPr="008F5216">
        <w:rPr>
          <w:lang w:bidi="ar-SA"/>
        </w:rPr>
        <w:t>&lt; 0.</w:t>
      </w:r>
      <w:r>
        <w:rPr>
          <w:lang w:bidi="ar-SA"/>
        </w:rPr>
        <w:t xml:space="preserve">1 </w:t>
      </w:r>
      <w:r>
        <w:rPr>
          <w:rFonts w:cs="Arial"/>
          <w:lang w:bidi="ar-SA"/>
        </w:rPr>
        <w:t>µ</w:t>
      </w:r>
      <w:r>
        <w:rPr>
          <w:lang w:bidi="ar-SA"/>
        </w:rPr>
        <w:t xml:space="preserve">mol/g, </w:t>
      </w:r>
      <w:r w:rsidRPr="008F5216">
        <w:rPr>
          <w:lang w:bidi="ar-SA"/>
        </w:rPr>
        <w:t>and below the level of quantification.</w:t>
      </w:r>
    </w:p>
    <w:p w14:paraId="34242248" w14:textId="77777777" w:rsidR="00B44897" w:rsidRDefault="00B44897" w:rsidP="00B44897">
      <w:pPr>
        <w:rPr>
          <w:lang w:bidi="ar-SA"/>
        </w:rPr>
      </w:pPr>
    </w:p>
    <w:p w14:paraId="7B35611D" w14:textId="092FC030" w:rsidR="00A53F5B" w:rsidRDefault="00B44897" w:rsidP="00A53F5B">
      <w:pPr>
        <w:rPr>
          <w:i/>
        </w:rPr>
      </w:pPr>
      <w:r w:rsidRPr="002D6411">
        <w:rPr>
          <w:lang w:bidi="ar-SA"/>
        </w:rPr>
        <w:t>FSANZ has conducted a Dietary Exposure Assessment (</w:t>
      </w:r>
      <w:r w:rsidR="001D7BC7">
        <w:rPr>
          <w:lang w:bidi="ar-SA"/>
        </w:rPr>
        <w:t>r</w:t>
      </w:r>
      <w:r>
        <w:rPr>
          <w:lang w:bidi="ar-SA"/>
        </w:rPr>
        <w:t>efer to section</w:t>
      </w:r>
      <w:r w:rsidRPr="002D6411">
        <w:rPr>
          <w:lang w:bidi="ar-SA"/>
        </w:rPr>
        <w:t xml:space="preserve"> 6) to estimate the dietary exposure to glucosinolates of Australian and New Zealand consumers from </w:t>
      </w:r>
      <w:r w:rsidR="00DA0240" w:rsidRPr="00DA0240">
        <w:rPr>
          <w:i/>
          <w:lang w:bidi="ar-SA"/>
        </w:rPr>
        <w:t>Brassica</w:t>
      </w:r>
      <w:r w:rsidR="00DA0240" w:rsidRPr="002D6411">
        <w:rPr>
          <w:lang w:bidi="ar-SA"/>
        </w:rPr>
        <w:t xml:space="preserve"> </w:t>
      </w:r>
      <w:r w:rsidRPr="002D6411">
        <w:rPr>
          <w:lang w:bidi="ar-SA"/>
        </w:rPr>
        <w:t>vegetables in the diet, and to compare that to exposure from rapeseed protein isolate</w:t>
      </w:r>
      <w:r>
        <w:rPr>
          <w:lang w:bidi="ar-SA"/>
        </w:rPr>
        <w:t xml:space="preserve"> (refer to section 6).</w:t>
      </w:r>
      <w:r w:rsidR="00A53F5B" w:rsidRPr="00A53F5B">
        <w:t xml:space="preserve"> </w:t>
      </w:r>
      <w:r w:rsidR="00A53F5B" w:rsidRPr="00A53F5B">
        <w:rPr>
          <w:lang w:bidi="ar-SA"/>
        </w:rPr>
        <w:t xml:space="preserve">The </w:t>
      </w:r>
      <w:r w:rsidR="00A53F5B">
        <w:rPr>
          <w:lang w:bidi="ar-SA"/>
        </w:rPr>
        <w:t xml:space="preserve">assessment found that </w:t>
      </w:r>
      <w:r w:rsidR="00A53F5B" w:rsidRPr="00A53F5B">
        <w:rPr>
          <w:lang w:bidi="ar-SA"/>
        </w:rPr>
        <w:t>additional exposure to glucosinolates from rapeseed protein</w:t>
      </w:r>
      <w:r w:rsidR="00EF1EDC">
        <w:rPr>
          <w:lang w:bidi="ar-SA"/>
        </w:rPr>
        <w:t xml:space="preserve"> based on typical use levels</w:t>
      </w:r>
      <w:r w:rsidR="00A53F5B" w:rsidRPr="00A53F5B">
        <w:rPr>
          <w:lang w:bidi="ar-SA"/>
        </w:rPr>
        <w:t xml:space="preserve"> </w:t>
      </w:r>
      <w:r w:rsidR="00A53F5B">
        <w:rPr>
          <w:lang w:bidi="ar-SA"/>
        </w:rPr>
        <w:t>is low and</w:t>
      </w:r>
      <w:r w:rsidR="00A53F5B" w:rsidRPr="00A53F5B">
        <w:rPr>
          <w:lang w:bidi="ar-SA"/>
        </w:rPr>
        <w:t xml:space="preserve"> equivalent to the consumption of around </w:t>
      </w:r>
      <w:r w:rsidR="00EF1EDC">
        <w:rPr>
          <w:lang w:bidi="ar-SA"/>
        </w:rPr>
        <w:t>30</w:t>
      </w:r>
      <w:r w:rsidR="00EF1EDC" w:rsidRPr="00A53F5B">
        <w:rPr>
          <w:lang w:bidi="ar-SA"/>
        </w:rPr>
        <w:t xml:space="preserve"> </w:t>
      </w:r>
      <w:r w:rsidR="00A53F5B" w:rsidRPr="00A53F5B">
        <w:rPr>
          <w:lang w:bidi="ar-SA"/>
        </w:rPr>
        <w:t xml:space="preserve">g/day of </w:t>
      </w:r>
      <w:r w:rsidR="00DA0240" w:rsidRPr="00DA0240">
        <w:rPr>
          <w:i/>
          <w:lang w:bidi="ar-SA"/>
        </w:rPr>
        <w:t>Brassica</w:t>
      </w:r>
      <w:r w:rsidR="00DA0240" w:rsidRPr="00A53F5B">
        <w:rPr>
          <w:lang w:bidi="ar-SA"/>
        </w:rPr>
        <w:t xml:space="preserve"> </w:t>
      </w:r>
      <w:r w:rsidR="00A53F5B" w:rsidRPr="00A53F5B">
        <w:rPr>
          <w:lang w:bidi="ar-SA"/>
        </w:rPr>
        <w:t>vegetables</w:t>
      </w:r>
      <w:r w:rsidR="00AF093D">
        <w:rPr>
          <w:lang w:bidi="ar-SA"/>
        </w:rPr>
        <w:t>,</w:t>
      </w:r>
      <w:r w:rsidR="00A53F5B" w:rsidRPr="00A53F5B">
        <w:rPr>
          <w:lang w:bidi="ar-SA"/>
        </w:rPr>
        <w:t xml:space="preserve"> and therefore </w:t>
      </w:r>
      <w:r w:rsidR="00D56E25">
        <w:rPr>
          <w:lang w:bidi="ar-SA"/>
        </w:rPr>
        <w:t>is</w:t>
      </w:r>
      <w:r w:rsidR="00D56E25" w:rsidRPr="00A53F5B">
        <w:rPr>
          <w:lang w:bidi="ar-SA"/>
        </w:rPr>
        <w:t xml:space="preserve"> </w:t>
      </w:r>
      <w:r w:rsidR="00A53F5B" w:rsidRPr="00A53F5B">
        <w:rPr>
          <w:lang w:bidi="ar-SA"/>
        </w:rPr>
        <w:t>not a health concern.</w:t>
      </w:r>
    </w:p>
    <w:p w14:paraId="49DB9690" w14:textId="3138F1DE" w:rsidR="00A53F5B" w:rsidRDefault="00A53F5B" w:rsidP="00614DC8">
      <w:pPr>
        <w:pStyle w:val="Heading3"/>
      </w:pPr>
      <w:bookmarkStart w:id="956" w:name="_Toc40360528"/>
      <w:bookmarkStart w:id="957" w:name="_Toc40353571"/>
      <w:bookmarkStart w:id="958" w:name="_Toc40366918"/>
      <w:bookmarkStart w:id="959" w:name="_Toc40368250"/>
      <w:bookmarkStart w:id="960" w:name="_Toc40382856"/>
      <w:bookmarkStart w:id="961" w:name="_Toc40431055"/>
      <w:bookmarkStart w:id="962" w:name="_Toc40432993"/>
      <w:bookmarkStart w:id="963" w:name="_Toc40447678"/>
      <w:bookmarkStart w:id="964" w:name="_Toc40441207"/>
      <w:bookmarkStart w:id="965" w:name="_Toc40448543"/>
      <w:bookmarkStart w:id="966" w:name="_Toc40449971"/>
      <w:bookmarkStart w:id="967" w:name="_Toc40968315"/>
      <w:bookmarkStart w:id="968" w:name="_Toc41051037"/>
      <w:bookmarkStart w:id="969" w:name="_Toc41046037"/>
      <w:bookmarkStart w:id="970" w:name="_Toc41053495"/>
      <w:bookmarkStart w:id="971" w:name="_Toc44592666"/>
      <w:bookmarkStart w:id="972" w:name="_Toc44596178"/>
      <w:bookmarkStart w:id="973" w:name="_Toc44604573"/>
      <w:bookmarkStart w:id="974" w:name="_Toc54169722"/>
      <w:bookmarkStart w:id="975" w:name="_Toc56090011"/>
      <w:r>
        <w:t>5.2.3</w:t>
      </w:r>
      <w:r w:rsidR="002B7DEA">
        <w:tab/>
      </w:r>
      <w:r w:rsidRPr="000B05AC">
        <w:t>Allergenicity</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14:paraId="39807B85" w14:textId="3068F0E5" w:rsidR="00966ED8" w:rsidRDefault="00966ED8" w:rsidP="00966ED8">
      <w:pPr>
        <w:pStyle w:val="Heading4"/>
      </w:pPr>
      <w:r>
        <w:t>5.2.3.1 Relationship between rapeseed and mustard plant species</w:t>
      </w:r>
    </w:p>
    <w:p w14:paraId="046EEF03" w14:textId="38FC2FAD" w:rsidR="00966ED8" w:rsidRDefault="00966ED8" w:rsidP="00966ED8">
      <w:pPr>
        <w:rPr>
          <w:lang w:eastAsia="en-AU"/>
        </w:rPr>
      </w:pPr>
      <w:r>
        <w:rPr>
          <w:lang w:eastAsia="en-AU"/>
        </w:rPr>
        <w:t xml:space="preserve">The applicant has requested the use of rapeseed protein isolate produced from three </w:t>
      </w:r>
      <w:r w:rsidRPr="00762AF6">
        <w:rPr>
          <w:i/>
          <w:lang w:eastAsia="en-AU"/>
        </w:rPr>
        <w:t>Brassica</w:t>
      </w:r>
      <w:r>
        <w:rPr>
          <w:lang w:eastAsia="en-AU"/>
        </w:rPr>
        <w:t xml:space="preserve"> species: </w:t>
      </w:r>
      <w:r w:rsidRPr="00CE56EC">
        <w:rPr>
          <w:i/>
          <w:lang w:eastAsia="en-AU"/>
        </w:rPr>
        <w:t>Brassica napus, Brassica rapa and Brassica juncea</w:t>
      </w:r>
      <w:r>
        <w:rPr>
          <w:i/>
          <w:lang w:eastAsia="en-AU"/>
        </w:rPr>
        <w:t xml:space="preserve">. </w:t>
      </w:r>
      <w:r>
        <w:rPr>
          <w:lang w:eastAsia="en-AU"/>
        </w:rPr>
        <w:t>These three species are also used for the production of rapeseed oil, as defined in the Codex Standard 210-1999 on vegetable oils (Codex 1999)</w:t>
      </w:r>
      <w:r w:rsidRPr="00CE56EC">
        <w:rPr>
          <w:i/>
          <w:lang w:eastAsia="en-AU"/>
        </w:rPr>
        <w:t>.</w:t>
      </w:r>
      <w:r>
        <w:rPr>
          <w:i/>
          <w:lang w:eastAsia="en-AU"/>
        </w:rPr>
        <w:t xml:space="preserve"> </w:t>
      </w:r>
      <w:r>
        <w:rPr>
          <w:lang w:eastAsia="en-AU"/>
        </w:rPr>
        <w:t xml:space="preserve">Two of the </w:t>
      </w:r>
      <w:r w:rsidRPr="00762AF6">
        <w:rPr>
          <w:i/>
          <w:lang w:eastAsia="en-AU"/>
        </w:rPr>
        <w:t>Brassica</w:t>
      </w:r>
      <w:r>
        <w:rPr>
          <w:lang w:eastAsia="en-AU"/>
        </w:rPr>
        <w:t xml:space="preserve"> species from which rapeseed protein isolate is derived (</w:t>
      </w:r>
      <w:r>
        <w:rPr>
          <w:i/>
          <w:lang w:eastAsia="en-AU"/>
        </w:rPr>
        <w:t>Brassica rapa and Brassica</w:t>
      </w:r>
      <w:r w:rsidRPr="005F09E8">
        <w:rPr>
          <w:i/>
          <w:lang w:eastAsia="en-AU"/>
        </w:rPr>
        <w:t xml:space="preserve"> junce</w:t>
      </w:r>
      <w:r>
        <w:rPr>
          <w:i/>
          <w:lang w:eastAsia="en-AU"/>
        </w:rPr>
        <w:t>a</w:t>
      </w:r>
      <w:r w:rsidRPr="00830BDC">
        <w:rPr>
          <w:lang w:eastAsia="en-AU"/>
        </w:rPr>
        <w:t>)</w:t>
      </w:r>
      <w:r>
        <w:rPr>
          <w:lang w:eastAsia="en-AU"/>
        </w:rPr>
        <w:t xml:space="preserve"> are also referred to as types of mustard, and a</w:t>
      </w:r>
      <w:r w:rsidRPr="00966ED8">
        <w:rPr>
          <w:lang w:eastAsia="en-AU"/>
        </w:rPr>
        <w:t>llergy to foods derived from the seeds of mustard species is well documented</w:t>
      </w:r>
      <w:r>
        <w:rPr>
          <w:lang w:eastAsia="en-AU"/>
        </w:rPr>
        <w:t xml:space="preserve"> (see section 5.2.3.3).</w:t>
      </w:r>
    </w:p>
    <w:p w14:paraId="2621C298" w14:textId="77777777" w:rsidR="00966ED8" w:rsidRDefault="00966ED8" w:rsidP="00966ED8">
      <w:pPr>
        <w:rPr>
          <w:lang w:eastAsia="en-AU"/>
        </w:rPr>
      </w:pPr>
    </w:p>
    <w:p w14:paraId="0B8DB2FC" w14:textId="478F1209" w:rsidR="00966ED8" w:rsidRDefault="00966ED8" w:rsidP="00966ED8">
      <w:pPr>
        <w:rPr>
          <w:lang w:eastAsia="en-AU"/>
        </w:rPr>
      </w:pPr>
      <w:r w:rsidRPr="00CE56EC">
        <w:rPr>
          <w:i/>
          <w:lang w:eastAsia="en-AU"/>
        </w:rPr>
        <w:t>Brassica juncea</w:t>
      </w:r>
      <w:r>
        <w:rPr>
          <w:lang w:eastAsia="en-AU"/>
        </w:rPr>
        <w:t xml:space="preserve"> is commonly known as Indian mustard, Chinese mustard, brown mustard or oriental mustard and is used as a spice, as is white (yellow) mustard (</w:t>
      </w:r>
      <w:r>
        <w:rPr>
          <w:i/>
          <w:lang w:eastAsia="en-AU"/>
        </w:rPr>
        <w:t>Sinapis</w:t>
      </w:r>
      <w:r w:rsidRPr="0035055B">
        <w:rPr>
          <w:i/>
          <w:lang w:eastAsia="en-AU"/>
        </w:rPr>
        <w:t xml:space="preserve"> alba</w:t>
      </w:r>
      <w:r w:rsidR="00ED5AE5">
        <w:rPr>
          <w:lang w:eastAsia="en-AU"/>
        </w:rPr>
        <w:t xml:space="preserve">, also known as </w:t>
      </w:r>
      <w:r w:rsidR="00ED5AE5" w:rsidRPr="00ED5AE5">
        <w:rPr>
          <w:i/>
          <w:lang w:eastAsia="en-AU"/>
        </w:rPr>
        <w:t>Brassica alba</w:t>
      </w:r>
      <w:r>
        <w:rPr>
          <w:lang w:eastAsia="en-AU"/>
        </w:rPr>
        <w:t>) and black mustard (</w:t>
      </w:r>
      <w:r w:rsidRPr="0035055B">
        <w:rPr>
          <w:i/>
          <w:lang w:eastAsia="en-AU"/>
        </w:rPr>
        <w:t>Brassica nigra</w:t>
      </w:r>
      <w:r>
        <w:rPr>
          <w:lang w:eastAsia="en-AU"/>
        </w:rPr>
        <w:t xml:space="preserve">) (Sharma et al. 2019). </w:t>
      </w:r>
      <w:r w:rsidRPr="00CE56EC">
        <w:rPr>
          <w:i/>
          <w:lang w:eastAsia="en-AU"/>
        </w:rPr>
        <w:t>Brassica napus</w:t>
      </w:r>
      <w:r>
        <w:rPr>
          <w:i/>
          <w:lang w:eastAsia="en-AU"/>
        </w:rPr>
        <w:t xml:space="preserve"> </w:t>
      </w:r>
      <w:r>
        <w:rPr>
          <w:lang w:eastAsia="en-AU"/>
        </w:rPr>
        <w:t>is commonly referred to as rapeseed and oilseed rape,</w:t>
      </w:r>
      <w:r>
        <w:rPr>
          <w:i/>
          <w:lang w:eastAsia="en-AU"/>
        </w:rPr>
        <w:t xml:space="preserve"> </w:t>
      </w:r>
      <w:r w:rsidRPr="00B84076">
        <w:rPr>
          <w:lang w:eastAsia="en-AU"/>
        </w:rPr>
        <w:t>and</w:t>
      </w:r>
      <w:r w:rsidRPr="00CE56EC">
        <w:rPr>
          <w:i/>
          <w:lang w:eastAsia="en-AU"/>
        </w:rPr>
        <w:t xml:space="preserve"> Brassica rapa</w:t>
      </w:r>
      <w:r>
        <w:rPr>
          <w:i/>
          <w:lang w:eastAsia="en-AU"/>
        </w:rPr>
        <w:t xml:space="preserve"> </w:t>
      </w:r>
      <w:r>
        <w:rPr>
          <w:lang w:eastAsia="en-AU"/>
        </w:rPr>
        <w:t xml:space="preserve">as field mustard and turnip </w:t>
      </w:r>
      <w:r w:rsidRPr="00175997">
        <w:rPr>
          <w:lang w:eastAsia="en-AU"/>
        </w:rPr>
        <w:t>rape (Table 5.1).</w:t>
      </w:r>
    </w:p>
    <w:p w14:paraId="5618127C" w14:textId="77777777" w:rsidR="00966ED8" w:rsidRPr="002C184E" w:rsidRDefault="00966ED8" w:rsidP="00966ED8"/>
    <w:p w14:paraId="748A0DF0" w14:textId="7C25D8BA" w:rsidR="00966ED8" w:rsidRPr="002C184E" w:rsidRDefault="001D7BC7" w:rsidP="00966ED8">
      <w:pPr>
        <w:pStyle w:val="FSTableTitle"/>
        <w:keepNext/>
        <w:keepLines/>
      </w:pPr>
      <w:r>
        <w:rPr>
          <w:i/>
        </w:rPr>
        <w:t xml:space="preserve">Table 5.1 </w:t>
      </w:r>
      <w:r w:rsidR="00966ED8" w:rsidRPr="002C184E">
        <w:rPr>
          <w:b w:val="0"/>
          <w:i/>
        </w:rPr>
        <w:t xml:space="preserve">Scientific and common names of some </w:t>
      </w:r>
      <w:r w:rsidR="00966ED8">
        <w:rPr>
          <w:b w:val="0"/>
          <w:i/>
        </w:rPr>
        <w:t>Brassica and Sinapis species</w:t>
      </w:r>
      <w:r w:rsidR="00966ED8" w:rsidRPr="002C184E">
        <w:t>*</w:t>
      </w:r>
    </w:p>
    <w:p w14:paraId="6F45A9CB" w14:textId="77777777" w:rsidR="00966ED8" w:rsidRDefault="00966ED8" w:rsidP="00966ED8">
      <w:pPr>
        <w:keepNext/>
        <w:keepLines/>
        <w:rPr>
          <w:lang w:eastAsia="en-AU"/>
        </w:rPr>
      </w:pPr>
    </w:p>
    <w:tbl>
      <w:tblPr>
        <w:tblStyle w:val="TableGrid"/>
        <w:tblW w:w="9067" w:type="dxa"/>
        <w:tblLook w:val="04A0" w:firstRow="1" w:lastRow="0" w:firstColumn="1" w:lastColumn="0" w:noHBand="0" w:noVBand="1"/>
        <w:tblCaption w:val="Table 5.1  Scientific and common names of some oilseeds "/>
      </w:tblPr>
      <w:tblGrid>
        <w:gridCol w:w="3020"/>
        <w:gridCol w:w="6047"/>
      </w:tblGrid>
      <w:tr w:rsidR="00966ED8" w:rsidRPr="00E12CC7" w14:paraId="52D18578" w14:textId="77777777" w:rsidTr="00B439BF">
        <w:tc>
          <w:tcPr>
            <w:tcW w:w="3020" w:type="dxa"/>
          </w:tcPr>
          <w:p w14:paraId="5E8FC974" w14:textId="77777777" w:rsidR="00966ED8" w:rsidRPr="002C184E" w:rsidRDefault="00966ED8" w:rsidP="00B439BF">
            <w:pPr>
              <w:pStyle w:val="FSTableHeading"/>
              <w:keepNext/>
              <w:keepLines/>
              <w:spacing w:before="40" w:after="40"/>
              <w:jc w:val="left"/>
            </w:pPr>
            <w:r w:rsidRPr="002C184E">
              <w:t>Scientific name</w:t>
            </w:r>
          </w:p>
        </w:tc>
        <w:tc>
          <w:tcPr>
            <w:tcW w:w="6047" w:type="dxa"/>
          </w:tcPr>
          <w:p w14:paraId="4D3058F5" w14:textId="77777777" w:rsidR="00966ED8" w:rsidRPr="002C184E" w:rsidRDefault="00966ED8" w:rsidP="00B439BF">
            <w:pPr>
              <w:pStyle w:val="FSTableHeading"/>
              <w:keepNext/>
              <w:keepLines/>
              <w:spacing w:before="40" w:after="40"/>
              <w:jc w:val="left"/>
            </w:pPr>
            <w:r w:rsidRPr="002C184E">
              <w:t>Common names</w:t>
            </w:r>
          </w:p>
        </w:tc>
      </w:tr>
      <w:tr w:rsidR="00966ED8" w:rsidRPr="0014712B" w14:paraId="7CCB8EB1" w14:textId="77777777" w:rsidTr="00B439BF">
        <w:tc>
          <w:tcPr>
            <w:tcW w:w="3020" w:type="dxa"/>
          </w:tcPr>
          <w:p w14:paraId="4AFA3DF6" w14:textId="77777777" w:rsidR="00966ED8" w:rsidRPr="002C184E" w:rsidRDefault="00966ED8" w:rsidP="00B439BF">
            <w:pPr>
              <w:pStyle w:val="FSTableText"/>
              <w:keepNext/>
              <w:keepLines/>
              <w:spacing w:before="40" w:after="40"/>
              <w:rPr>
                <w:i/>
                <w:lang w:eastAsia="en-AU"/>
              </w:rPr>
            </w:pPr>
            <w:r w:rsidRPr="002C184E">
              <w:rPr>
                <w:i/>
                <w:lang w:eastAsia="en-AU"/>
              </w:rPr>
              <w:t>Brassica napus</w:t>
            </w:r>
          </w:p>
        </w:tc>
        <w:tc>
          <w:tcPr>
            <w:tcW w:w="6047" w:type="dxa"/>
          </w:tcPr>
          <w:p w14:paraId="7D27D962" w14:textId="77777777" w:rsidR="00966ED8" w:rsidRPr="0014712B" w:rsidRDefault="00966ED8" w:rsidP="00B439BF">
            <w:pPr>
              <w:pStyle w:val="FSTableText"/>
              <w:keepNext/>
              <w:keepLines/>
              <w:spacing w:before="40" w:after="40"/>
              <w:rPr>
                <w:lang w:eastAsia="en-AU"/>
              </w:rPr>
            </w:pPr>
            <w:r>
              <w:rPr>
                <w:lang w:eastAsia="en-AU"/>
              </w:rPr>
              <w:t>R</w:t>
            </w:r>
            <w:r w:rsidRPr="0014712B">
              <w:rPr>
                <w:lang w:eastAsia="en-AU"/>
              </w:rPr>
              <w:t>apeseed</w:t>
            </w:r>
            <w:r>
              <w:rPr>
                <w:lang w:eastAsia="en-AU"/>
              </w:rPr>
              <w:t xml:space="preserve">, oilseed rape </w:t>
            </w:r>
          </w:p>
        </w:tc>
      </w:tr>
      <w:tr w:rsidR="00966ED8" w:rsidRPr="0014712B" w14:paraId="05546827" w14:textId="77777777" w:rsidTr="00B439BF">
        <w:tc>
          <w:tcPr>
            <w:tcW w:w="3020" w:type="dxa"/>
          </w:tcPr>
          <w:p w14:paraId="282E1383" w14:textId="77777777" w:rsidR="00966ED8" w:rsidRPr="00BA44AC" w:rsidRDefault="00966ED8" w:rsidP="00B439BF">
            <w:pPr>
              <w:pStyle w:val="FSTableText"/>
              <w:keepNext/>
              <w:keepLines/>
              <w:spacing w:before="40" w:after="40"/>
              <w:rPr>
                <w:i/>
                <w:lang w:eastAsia="en-AU"/>
              </w:rPr>
            </w:pPr>
            <w:r w:rsidRPr="00BA44AC">
              <w:rPr>
                <w:i/>
                <w:lang w:eastAsia="en-AU"/>
              </w:rPr>
              <w:t xml:space="preserve">Brassica rapa </w:t>
            </w:r>
          </w:p>
        </w:tc>
        <w:tc>
          <w:tcPr>
            <w:tcW w:w="6047" w:type="dxa"/>
          </w:tcPr>
          <w:p w14:paraId="0AAF6222" w14:textId="77777777" w:rsidR="00966ED8" w:rsidRPr="0014712B" w:rsidRDefault="00966ED8" w:rsidP="00B439BF">
            <w:pPr>
              <w:pStyle w:val="FSTableText"/>
              <w:keepNext/>
              <w:keepLines/>
              <w:spacing w:before="40" w:after="40"/>
              <w:rPr>
                <w:lang w:eastAsia="en-AU"/>
              </w:rPr>
            </w:pPr>
            <w:r>
              <w:rPr>
                <w:lang w:eastAsia="en-AU"/>
              </w:rPr>
              <w:t>Field mustard, turnip rape</w:t>
            </w:r>
          </w:p>
        </w:tc>
      </w:tr>
      <w:tr w:rsidR="00966ED8" w:rsidRPr="0014712B" w14:paraId="245A8F07" w14:textId="77777777" w:rsidTr="00B439BF">
        <w:tc>
          <w:tcPr>
            <w:tcW w:w="3020" w:type="dxa"/>
          </w:tcPr>
          <w:p w14:paraId="122C63AE" w14:textId="77777777" w:rsidR="00966ED8" w:rsidRPr="00BA44AC" w:rsidRDefault="00966ED8" w:rsidP="00B439BF">
            <w:pPr>
              <w:pStyle w:val="FSTableText"/>
              <w:keepNext/>
              <w:keepLines/>
              <w:spacing w:before="40" w:after="40"/>
              <w:rPr>
                <w:i/>
                <w:lang w:eastAsia="en-AU"/>
              </w:rPr>
            </w:pPr>
            <w:r w:rsidRPr="00BA44AC">
              <w:rPr>
                <w:i/>
                <w:lang w:eastAsia="en-AU"/>
              </w:rPr>
              <w:t>Brassica juncea</w:t>
            </w:r>
          </w:p>
        </w:tc>
        <w:tc>
          <w:tcPr>
            <w:tcW w:w="6047" w:type="dxa"/>
          </w:tcPr>
          <w:p w14:paraId="4BF8D6F0" w14:textId="77777777" w:rsidR="00966ED8" w:rsidRPr="0014712B" w:rsidRDefault="00966ED8" w:rsidP="00B439BF">
            <w:pPr>
              <w:pStyle w:val="FSTableText"/>
              <w:keepNext/>
              <w:keepLines/>
              <w:spacing w:before="40" w:after="40"/>
              <w:rPr>
                <w:lang w:eastAsia="en-AU"/>
              </w:rPr>
            </w:pPr>
            <w:r>
              <w:rPr>
                <w:lang w:eastAsia="en-AU"/>
              </w:rPr>
              <w:t>Indian mustard, Chinese mustard, brown mustard, oriental mustard</w:t>
            </w:r>
          </w:p>
        </w:tc>
      </w:tr>
      <w:tr w:rsidR="00966ED8" w:rsidRPr="0014712B" w14:paraId="02747EBE" w14:textId="77777777" w:rsidTr="00B439BF">
        <w:tc>
          <w:tcPr>
            <w:tcW w:w="3020" w:type="dxa"/>
          </w:tcPr>
          <w:p w14:paraId="412DD137" w14:textId="77777777" w:rsidR="00966ED8" w:rsidRPr="00BA44AC" w:rsidRDefault="00966ED8" w:rsidP="00B439BF">
            <w:pPr>
              <w:pStyle w:val="FSTableText"/>
              <w:keepNext/>
              <w:keepLines/>
              <w:spacing w:before="40" w:after="40"/>
              <w:rPr>
                <w:i/>
                <w:lang w:eastAsia="en-AU"/>
              </w:rPr>
            </w:pPr>
            <w:r w:rsidRPr="00BA44AC">
              <w:rPr>
                <w:i/>
                <w:lang w:eastAsia="en-AU"/>
              </w:rPr>
              <w:t>Brassica nigra</w:t>
            </w:r>
          </w:p>
        </w:tc>
        <w:tc>
          <w:tcPr>
            <w:tcW w:w="6047" w:type="dxa"/>
          </w:tcPr>
          <w:p w14:paraId="15C0045F" w14:textId="77777777" w:rsidR="00966ED8" w:rsidRDefault="00966ED8" w:rsidP="00B439BF">
            <w:pPr>
              <w:pStyle w:val="FSTableText"/>
              <w:keepNext/>
              <w:keepLines/>
              <w:spacing w:before="40" w:after="40"/>
              <w:rPr>
                <w:lang w:eastAsia="en-AU"/>
              </w:rPr>
            </w:pPr>
            <w:r>
              <w:rPr>
                <w:lang w:eastAsia="en-AU"/>
              </w:rPr>
              <w:t>Black mustard</w:t>
            </w:r>
          </w:p>
        </w:tc>
      </w:tr>
      <w:tr w:rsidR="00966ED8" w:rsidRPr="001B7910" w14:paraId="2F83C6EF" w14:textId="77777777" w:rsidTr="00B439BF">
        <w:trPr>
          <w:trHeight w:val="50"/>
        </w:trPr>
        <w:tc>
          <w:tcPr>
            <w:tcW w:w="3020" w:type="dxa"/>
          </w:tcPr>
          <w:p w14:paraId="4A2EE46A" w14:textId="77777777" w:rsidR="00966ED8" w:rsidRPr="00BA44AC" w:rsidRDefault="00966ED8" w:rsidP="00B439BF">
            <w:pPr>
              <w:pStyle w:val="FSTableText"/>
              <w:keepNext/>
              <w:keepLines/>
              <w:spacing w:before="40" w:after="40"/>
              <w:rPr>
                <w:i/>
                <w:lang w:eastAsia="en-AU"/>
              </w:rPr>
            </w:pPr>
            <w:r w:rsidRPr="00BA44AC">
              <w:rPr>
                <w:i/>
                <w:lang w:eastAsia="en-AU"/>
              </w:rPr>
              <w:t>Sinapis alba</w:t>
            </w:r>
            <w:r>
              <w:rPr>
                <w:i/>
                <w:lang w:eastAsia="en-AU"/>
              </w:rPr>
              <w:t xml:space="preserve"> </w:t>
            </w:r>
            <w:r>
              <w:rPr>
                <w:lang w:eastAsia="en-AU"/>
              </w:rPr>
              <w:t xml:space="preserve">(also known as </w:t>
            </w:r>
            <w:r w:rsidRPr="000F34AB">
              <w:rPr>
                <w:i/>
                <w:lang w:eastAsia="en-AU"/>
              </w:rPr>
              <w:t>Brassica alba</w:t>
            </w:r>
            <w:r>
              <w:rPr>
                <w:lang w:eastAsia="en-AU"/>
              </w:rPr>
              <w:t>)</w:t>
            </w:r>
          </w:p>
        </w:tc>
        <w:tc>
          <w:tcPr>
            <w:tcW w:w="6047" w:type="dxa"/>
          </w:tcPr>
          <w:p w14:paraId="03FD827E" w14:textId="77777777" w:rsidR="00966ED8" w:rsidRPr="00F20A11" w:rsidRDefault="00966ED8" w:rsidP="00B439BF">
            <w:pPr>
              <w:pStyle w:val="FSTableText"/>
              <w:keepNext/>
              <w:keepLines/>
              <w:spacing w:before="40" w:after="40"/>
              <w:rPr>
                <w:lang w:eastAsia="en-AU"/>
              </w:rPr>
            </w:pPr>
            <w:r>
              <w:rPr>
                <w:lang w:eastAsia="en-AU"/>
              </w:rPr>
              <w:t>White mustard, yellow mustard</w:t>
            </w:r>
          </w:p>
        </w:tc>
      </w:tr>
    </w:tbl>
    <w:p w14:paraId="6D738A46" w14:textId="77777777" w:rsidR="00966ED8" w:rsidRDefault="00966ED8" w:rsidP="00966ED8">
      <w:pPr>
        <w:keepNext/>
        <w:keepLines/>
        <w:rPr>
          <w:sz w:val="18"/>
          <w:szCs w:val="18"/>
          <w:lang w:eastAsia="en-AU"/>
        </w:rPr>
      </w:pPr>
      <w:r>
        <w:rPr>
          <w:sz w:val="18"/>
          <w:szCs w:val="18"/>
          <w:lang w:eastAsia="en-AU"/>
        </w:rPr>
        <w:t>* Note that the term</w:t>
      </w:r>
      <w:r w:rsidRPr="00653B5E">
        <w:rPr>
          <w:sz w:val="18"/>
          <w:szCs w:val="18"/>
          <w:lang w:eastAsia="en-AU"/>
        </w:rPr>
        <w:t xml:space="preserve"> canola </w:t>
      </w:r>
      <w:r>
        <w:rPr>
          <w:sz w:val="18"/>
          <w:szCs w:val="18"/>
          <w:lang w:eastAsia="en-AU"/>
        </w:rPr>
        <w:t>refers to s</w:t>
      </w:r>
      <w:r w:rsidRPr="00653B5E">
        <w:rPr>
          <w:sz w:val="18"/>
          <w:szCs w:val="18"/>
          <w:lang w:eastAsia="en-AU"/>
        </w:rPr>
        <w:t xml:space="preserve">eeds of the genus </w:t>
      </w:r>
      <w:r w:rsidRPr="003A7BB8">
        <w:rPr>
          <w:i/>
          <w:sz w:val="18"/>
          <w:szCs w:val="18"/>
          <w:lang w:eastAsia="en-AU"/>
        </w:rPr>
        <w:t>Brassica</w:t>
      </w:r>
      <w:r w:rsidRPr="00653B5E">
        <w:rPr>
          <w:sz w:val="18"/>
          <w:szCs w:val="18"/>
          <w:lang w:eastAsia="en-AU"/>
        </w:rPr>
        <w:t xml:space="preserve"> (</w:t>
      </w:r>
      <w:r w:rsidRPr="003A7BB8">
        <w:rPr>
          <w:i/>
          <w:sz w:val="18"/>
          <w:szCs w:val="18"/>
          <w:lang w:eastAsia="en-AU"/>
        </w:rPr>
        <w:t>Brassica napus</w:t>
      </w:r>
      <w:r w:rsidRPr="00653B5E">
        <w:rPr>
          <w:sz w:val="18"/>
          <w:szCs w:val="18"/>
          <w:lang w:eastAsia="en-AU"/>
        </w:rPr>
        <w:t xml:space="preserve">, </w:t>
      </w:r>
      <w:r w:rsidRPr="003A7BB8">
        <w:rPr>
          <w:i/>
          <w:sz w:val="18"/>
          <w:szCs w:val="18"/>
          <w:lang w:eastAsia="en-AU"/>
        </w:rPr>
        <w:t>Brassica rapa</w:t>
      </w:r>
      <w:r w:rsidRPr="00653B5E">
        <w:rPr>
          <w:sz w:val="18"/>
          <w:szCs w:val="18"/>
          <w:lang w:eastAsia="en-AU"/>
        </w:rPr>
        <w:t xml:space="preserve"> or </w:t>
      </w:r>
      <w:r w:rsidRPr="003A7BB8">
        <w:rPr>
          <w:i/>
          <w:sz w:val="18"/>
          <w:szCs w:val="18"/>
          <w:lang w:eastAsia="en-AU"/>
        </w:rPr>
        <w:t>Brassica juncea</w:t>
      </w:r>
      <w:r w:rsidRPr="00653B5E">
        <w:rPr>
          <w:sz w:val="18"/>
          <w:szCs w:val="18"/>
          <w:lang w:eastAsia="en-AU"/>
        </w:rPr>
        <w:t xml:space="preserve">) from which the oil shall contain less than 2% erucic acid in its fatty acid profile and the solid component shall contain less than 30 micromoles of </w:t>
      </w:r>
      <w:r>
        <w:rPr>
          <w:sz w:val="18"/>
          <w:szCs w:val="18"/>
          <w:lang w:eastAsia="en-AU"/>
        </w:rPr>
        <w:t>several specified glucosinolates per gram of air-dry, oil-free solid (</w:t>
      </w:r>
      <w:hyperlink r:id="rId18" w:anchor="OfficialDefinition" w:history="1">
        <w:r w:rsidRPr="00A95682">
          <w:rPr>
            <w:rStyle w:val="Hyperlink"/>
            <w:sz w:val="18"/>
            <w:szCs w:val="18"/>
            <w:lang w:eastAsia="en-AU"/>
          </w:rPr>
          <w:t>https://www.canolacouncil.org/oil-and-meal/what-is-canola/#OfficialDefinition</w:t>
        </w:r>
      </w:hyperlink>
      <w:r>
        <w:rPr>
          <w:sz w:val="18"/>
          <w:szCs w:val="18"/>
          <w:lang w:eastAsia="en-AU"/>
        </w:rPr>
        <w:t>).</w:t>
      </w:r>
    </w:p>
    <w:p w14:paraId="44F4D9AF" w14:textId="2CE909E9" w:rsidR="00966ED8" w:rsidRDefault="00966ED8" w:rsidP="00966ED8">
      <w:pPr>
        <w:pStyle w:val="Heading4"/>
      </w:pPr>
      <w:r>
        <w:t>5.2.3.2 Bioinformatics study on proteins from Brassica species</w:t>
      </w:r>
    </w:p>
    <w:p w14:paraId="26904FFA" w14:textId="34DFDA14" w:rsidR="00E23EA3" w:rsidRDefault="00E23EA3" w:rsidP="0060118E">
      <w:pPr>
        <w:rPr>
          <w:lang w:eastAsia="en-AU"/>
        </w:rPr>
      </w:pPr>
      <w:r>
        <w:rPr>
          <w:lang w:eastAsia="en-AU"/>
        </w:rPr>
        <w:t xml:space="preserve">The applicant submitted a bioinformatics study investigating the potential allergenicity of </w:t>
      </w:r>
      <w:r w:rsidR="00C15EEF">
        <w:rPr>
          <w:lang w:eastAsia="en-AU"/>
        </w:rPr>
        <w:t xml:space="preserve">several </w:t>
      </w:r>
      <w:r>
        <w:rPr>
          <w:lang w:eastAsia="en-AU"/>
        </w:rPr>
        <w:t xml:space="preserve">proteins from </w:t>
      </w:r>
      <w:r w:rsidR="00745083" w:rsidRPr="00745083">
        <w:rPr>
          <w:i/>
          <w:lang w:eastAsia="en-AU"/>
        </w:rPr>
        <w:t>Brassica</w:t>
      </w:r>
      <w:r w:rsidR="00745083">
        <w:rPr>
          <w:lang w:eastAsia="en-AU"/>
        </w:rPr>
        <w:t xml:space="preserve"> species</w:t>
      </w:r>
      <w:r>
        <w:rPr>
          <w:lang w:eastAsia="en-AU"/>
        </w:rPr>
        <w:t>:</w:t>
      </w:r>
    </w:p>
    <w:p w14:paraId="36C5D7D5" w14:textId="77777777" w:rsidR="00E23EA3" w:rsidRDefault="00E23EA3" w:rsidP="0060118E">
      <w:pPr>
        <w:rPr>
          <w:lang w:eastAsia="en-AU"/>
        </w:rPr>
      </w:pPr>
    </w:p>
    <w:p w14:paraId="76FE5315" w14:textId="2DEA0F9B" w:rsidR="0060118E" w:rsidRPr="006E4598" w:rsidRDefault="0060118E" w:rsidP="00680D17">
      <w:pPr>
        <w:keepLines/>
        <w:rPr>
          <w:i/>
        </w:rPr>
      </w:pPr>
      <w:r w:rsidRPr="006E4598">
        <w:rPr>
          <w:i/>
        </w:rPr>
        <w:t>Bioinformati</w:t>
      </w:r>
      <w:r>
        <w:rPr>
          <w:i/>
        </w:rPr>
        <w:t>c</w:t>
      </w:r>
      <w:r w:rsidRPr="006E4598">
        <w:rPr>
          <w:i/>
        </w:rPr>
        <w:t>s Analysis of Potential Allergenicity and Celiac Disease of Six Storage Proteins from Rapeseed</w:t>
      </w:r>
      <w:r w:rsidR="00DF14E8">
        <w:rPr>
          <w:i/>
        </w:rPr>
        <w:t xml:space="preserve"> for Food Safety Evaluation</w:t>
      </w:r>
      <w:r w:rsidRPr="006E4598">
        <w:rPr>
          <w:i/>
        </w:rPr>
        <w:t xml:space="preserve"> (Goodman 2016</w:t>
      </w:r>
      <w:r>
        <w:rPr>
          <w:i/>
        </w:rPr>
        <w:t>; unpublished report</w:t>
      </w:r>
      <w:r w:rsidRPr="006E4598">
        <w:rPr>
          <w:i/>
        </w:rPr>
        <w:t xml:space="preserve">). Regulatory status: GLP; </w:t>
      </w:r>
      <w:r>
        <w:rPr>
          <w:i/>
        </w:rPr>
        <w:t>conducted in accordance with Codex Alimentarius (2003) guidelines</w:t>
      </w:r>
      <w:r w:rsidRPr="006E4598">
        <w:rPr>
          <w:i/>
        </w:rPr>
        <w:t xml:space="preserve">. </w:t>
      </w:r>
    </w:p>
    <w:p w14:paraId="15C63276" w14:textId="77777777" w:rsidR="0060118E" w:rsidRDefault="0060118E" w:rsidP="00680D17">
      <w:pPr>
        <w:keepLines/>
      </w:pPr>
    </w:p>
    <w:p w14:paraId="6F8A86A5" w14:textId="577E7DD9" w:rsidR="0060118E" w:rsidRPr="00123671" w:rsidRDefault="00745083" w:rsidP="00680D17">
      <w:pPr>
        <w:keepLines/>
      </w:pPr>
      <w:r>
        <w:t xml:space="preserve">The amino acid sequences of six </w:t>
      </w:r>
      <w:r w:rsidR="0060118E">
        <w:t>protein</w:t>
      </w:r>
      <w:r w:rsidR="00AD4DE4">
        <w:t xml:space="preserve">s from </w:t>
      </w:r>
      <w:r w:rsidRPr="0013300D">
        <w:rPr>
          <w:i/>
        </w:rPr>
        <w:t>Brassica</w:t>
      </w:r>
      <w:r>
        <w:t xml:space="preserve"> species (</w:t>
      </w:r>
      <w:r w:rsidR="0013300D">
        <w:t>five</w:t>
      </w:r>
      <w:r>
        <w:t xml:space="preserve"> proteins from </w:t>
      </w:r>
      <w:r w:rsidRPr="0013300D">
        <w:rPr>
          <w:i/>
        </w:rPr>
        <w:t>Brassica napus</w:t>
      </w:r>
      <w:r w:rsidR="0013300D">
        <w:t xml:space="preserve">, and one protein from </w:t>
      </w:r>
      <w:r w:rsidR="0013300D" w:rsidRPr="0013300D">
        <w:rPr>
          <w:i/>
        </w:rPr>
        <w:t>Brassica oleracea</w:t>
      </w:r>
      <w:r w:rsidR="0013300D">
        <w:t>)</w:t>
      </w:r>
      <w:r w:rsidR="0060118E">
        <w:t>, submitted to the Food Allergy Research and Resource Program (FARRP), were evaluated using AllergenOnline.org</w:t>
      </w:r>
      <w:r w:rsidR="00DF14E8">
        <w:t xml:space="preserve"> version 16</w:t>
      </w:r>
      <w:r w:rsidR="0060118E">
        <w:t xml:space="preserve">, using </w:t>
      </w:r>
      <w:r w:rsidR="00C67AE6">
        <w:t xml:space="preserve">a </w:t>
      </w:r>
      <w:r w:rsidR="0060118E">
        <w:t xml:space="preserve">full-length FASTA search and a sliding 80 amino acid FASTA search. A search </w:t>
      </w:r>
      <w:r w:rsidR="00C67AE6">
        <w:t>of</w:t>
      </w:r>
      <w:r w:rsidR="0060118E">
        <w:t xml:space="preserve"> the NCBI-Protein database using BLASTP 2.4</w:t>
      </w:r>
      <w:r w:rsidR="00DF14E8">
        <w:t>.</w:t>
      </w:r>
      <w:r w:rsidR="0060118E">
        <w:t>0+ with keywords “allergen” or “allergy” was also conducted. Sequences were also run against the Celiac Database.</w:t>
      </w:r>
    </w:p>
    <w:p w14:paraId="305C6778" w14:textId="77777777" w:rsidR="0060118E" w:rsidRDefault="0060118E" w:rsidP="0060118E"/>
    <w:p w14:paraId="6703A45C" w14:textId="77777777" w:rsidR="008D1DC3" w:rsidRDefault="008D1DC3" w:rsidP="008D1DC3">
      <w:pPr>
        <w:rPr>
          <w:lang w:eastAsia="en-AU"/>
        </w:rPr>
      </w:pPr>
      <w:r>
        <w:t>There were no exact matches to peptides in the Celiac Database, and FASTA alignments had scores well below the limits considered to indicate risk of celiac disease.</w:t>
      </w:r>
    </w:p>
    <w:p w14:paraId="3CEC5369" w14:textId="77777777" w:rsidR="008D1DC3" w:rsidRDefault="008D1DC3" w:rsidP="00353485"/>
    <w:p w14:paraId="6D1EEB09" w14:textId="1602F8B5" w:rsidR="0015324B" w:rsidRDefault="0013300D" w:rsidP="00353485">
      <w:r>
        <w:t>H</w:t>
      </w:r>
      <w:r w:rsidR="0060118E">
        <w:t xml:space="preserve">igh identity </w:t>
      </w:r>
      <w:r>
        <w:t xml:space="preserve">amino acid sequence </w:t>
      </w:r>
      <w:r w:rsidR="0060118E">
        <w:t>match</w:t>
      </w:r>
      <w:r>
        <w:t>es</w:t>
      </w:r>
      <w:r w:rsidR="0060118E">
        <w:t xml:space="preserve"> </w:t>
      </w:r>
      <w:r>
        <w:t>were</w:t>
      </w:r>
      <w:r w:rsidR="0060118E">
        <w:t xml:space="preserve"> found between </w:t>
      </w:r>
      <w:r w:rsidR="00E321C0">
        <w:t xml:space="preserve">proteins from </w:t>
      </w:r>
      <w:r w:rsidRPr="0013300D">
        <w:rPr>
          <w:i/>
        </w:rPr>
        <w:t>Brassica</w:t>
      </w:r>
      <w:r>
        <w:t xml:space="preserve"> </w:t>
      </w:r>
      <w:r w:rsidR="00E321C0">
        <w:t>species</w:t>
      </w:r>
      <w:r w:rsidR="0060118E">
        <w:t xml:space="preserve"> </w:t>
      </w:r>
      <w:r>
        <w:t xml:space="preserve">and </w:t>
      </w:r>
      <w:r w:rsidR="0060118E">
        <w:t xml:space="preserve">proteins </w:t>
      </w:r>
      <w:r>
        <w:t xml:space="preserve">from </w:t>
      </w:r>
      <w:r w:rsidR="00EF3574">
        <w:t xml:space="preserve">the </w:t>
      </w:r>
      <w:r w:rsidR="0060118E">
        <w:t xml:space="preserve">mustard </w:t>
      </w:r>
      <w:r w:rsidR="00EF3574">
        <w:t>specie</w:t>
      </w:r>
      <w:r w:rsidR="00E265C7">
        <w:t>s</w:t>
      </w:r>
      <w:r w:rsidR="00EF3574">
        <w:t xml:space="preserve"> </w:t>
      </w:r>
      <w:r w:rsidR="0060118E" w:rsidRPr="00034BAD">
        <w:rPr>
          <w:i/>
        </w:rPr>
        <w:t>Sinapis alba</w:t>
      </w:r>
      <w:r w:rsidR="0060118E">
        <w:t xml:space="preserve">. </w:t>
      </w:r>
      <w:r w:rsidR="0015324B">
        <w:t xml:space="preserve">The author concluded that closely related species in </w:t>
      </w:r>
      <w:r w:rsidR="00ED5AE5">
        <w:t>the mustard family (in the genera</w:t>
      </w:r>
      <w:r w:rsidR="0015324B">
        <w:t xml:space="preserve"> </w:t>
      </w:r>
      <w:r w:rsidR="0015324B" w:rsidRPr="0015324B">
        <w:rPr>
          <w:i/>
        </w:rPr>
        <w:t>Brassica</w:t>
      </w:r>
      <w:r w:rsidR="0015324B">
        <w:t xml:space="preserve"> and </w:t>
      </w:r>
      <w:r w:rsidR="0015324B" w:rsidRPr="0015324B">
        <w:rPr>
          <w:i/>
        </w:rPr>
        <w:t>Sinapis</w:t>
      </w:r>
      <w:r w:rsidR="0015324B">
        <w:t>) are likely to elicit cross-reactivity in those sensitised and allergic to any member of those genera, and that cross-reactivity could be due to sensitisation to cruciferins, napins or lipid transfer proteins.</w:t>
      </w:r>
    </w:p>
    <w:p w14:paraId="73F27C97" w14:textId="77777777" w:rsidR="0015324B" w:rsidRDefault="0015324B" w:rsidP="00353485"/>
    <w:p w14:paraId="2FF2C492" w14:textId="53FB6251" w:rsidR="008D1DC3" w:rsidRDefault="0060118E" w:rsidP="00353485">
      <w:r>
        <w:t xml:space="preserve">Moderate to high sequence identities to seed storage allergens of more distantly related plants were </w:t>
      </w:r>
      <w:r w:rsidR="008D1DC3">
        <w:t xml:space="preserve">identified, however these were </w:t>
      </w:r>
      <w:r>
        <w:t xml:space="preserve">not considered likely to be clinically relevant, because according to Goodman (2016) there is a lack of evidence for clinical cross-reactivity between mustard seed proteins and homologues outside the family </w:t>
      </w:r>
      <w:r w:rsidRPr="006E4598">
        <w:rPr>
          <w:i/>
        </w:rPr>
        <w:t>Brassicaceae</w:t>
      </w:r>
      <w:r w:rsidR="00C06C55">
        <w:t>.</w:t>
      </w:r>
    </w:p>
    <w:p w14:paraId="0CEAD595" w14:textId="446ACC52" w:rsidR="00E23EA3" w:rsidRDefault="00966ED8" w:rsidP="00680D17">
      <w:pPr>
        <w:pStyle w:val="Heading4"/>
      </w:pPr>
      <w:r>
        <w:t>5.2.3.3</w:t>
      </w:r>
      <w:r w:rsidR="00E23EA3">
        <w:t xml:space="preserve"> </w:t>
      </w:r>
      <w:r w:rsidR="00E23EA3" w:rsidRPr="00680D17">
        <w:t>Human</w:t>
      </w:r>
      <w:r w:rsidR="00E23EA3">
        <w:t xml:space="preserve"> allergenicity data on Brassica species</w:t>
      </w:r>
    </w:p>
    <w:p w14:paraId="0F4AB096" w14:textId="32A4545C" w:rsidR="00353485" w:rsidRDefault="00353485" w:rsidP="00353485">
      <w:pPr>
        <w:rPr>
          <w:lang w:eastAsia="en-AU"/>
        </w:rPr>
      </w:pPr>
      <w:r>
        <w:rPr>
          <w:lang w:eastAsia="en-AU"/>
        </w:rPr>
        <w:t xml:space="preserve">Allergy to foods derived from </w:t>
      </w:r>
      <w:r w:rsidR="00355AE8">
        <w:rPr>
          <w:lang w:eastAsia="en-AU"/>
        </w:rPr>
        <w:t xml:space="preserve">the seeds of </w:t>
      </w:r>
      <w:r>
        <w:rPr>
          <w:lang w:eastAsia="en-AU"/>
        </w:rPr>
        <w:t xml:space="preserve">mustard </w:t>
      </w:r>
      <w:r w:rsidR="0015324B">
        <w:rPr>
          <w:lang w:eastAsia="en-AU"/>
        </w:rPr>
        <w:t>species</w:t>
      </w:r>
      <w:r>
        <w:rPr>
          <w:lang w:eastAsia="en-AU"/>
        </w:rPr>
        <w:t xml:space="preserve"> </w:t>
      </w:r>
      <w:r>
        <w:t>is well documented (Sharma et al. 2019) with a cause and effect relationship confirmed in single and double-blind placebo controlled food challenges (Ranc</w:t>
      </w:r>
      <w:r w:rsidRPr="00CE56EC">
        <w:rPr>
          <w:color w:val="222222"/>
          <w:lang w:val="en"/>
        </w:rPr>
        <w:t>é</w:t>
      </w:r>
      <w:r w:rsidR="00B439BF">
        <w:t xml:space="preserve"> et al. 2000; Mor</w:t>
      </w:r>
      <w:r>
        <w:t xml:space="preserve">isset et al. 2003; Figueroa et al. 2005). Mustard allergy </w:t>
      </w:r>
      <w:r w:rsidR="008D10AF">
        <w:t xml:space="preserve">was reported to be </w:t>
      </w:r>
      <w:r>
        <w:t>the fourth leading cause of food allergy in France (Ranc</w:t>
      </w:r>
      <w:r w:rsidRPr="00CE56EC">
        <w:rPr>
          <w:color w:val="222222"/>
          <w:lang w:val="en"/>
        </w:rPr>
        <w:t>é</w:t>
      </w:r>
      <w:r>
        <w:t xml:space="preserve"> et al. 1999). The EU and Canada have included mustard as a priority allergen for labelling purposes (CEC 2007; H</w:t>
      </w:r>
      <w:r w:rsidR="00C9224A">
        <w:t xml:space="preserve">ealth Canada 2010). The US FDA </w:t>
      </w:r>
      <w:r>
        <w:t>does not include mustard as a major food allergen.</w:t>
      </w:r>
      <w:r>
        <w:rPr>
          <w:i/>
          <w:lang w:eastAsia="en-AU"/>
        </w:rPr>
        <w:t xml:space="preserve"> </w:t>
      </w:r>
    </w:p>
    <w:p w14:paraId="70A3A8B6" w14:textId="77777777" w:rsidR="00353485" w:rsidRPr="00353485" w:rsidRDefault="00353485" w:rsidP="00353485">
      <w:pPr>
        <w:rPr>
          <w:lang w:eastAsia="en-AU" w:bidi="ar-SA"/>
        </w:rPr>
      </w:pPr>
    </w:p>
    <w:p w14:paraId="2C892374" w14:textId="0DDC5DC0" w:rsidR="00936B7E" w:rsidRDefault="00353485" w:rsidP="00A53F5B">
      <w:r w:rsidRPr="003416ED">
        <w:t xml:space="preserve">Rapeseed plants contain allergenic storage proteins and allergy to rapeseed proteins </w:t>
      </w:r>
      <w:r>
        <w:t xml:space="preserve">has been described. </w:t>
      </w:r>
      <w:r w:rsidR="00936B7E">
        <w:t>A study</w:t>
      </w:r>
      <w:r w:rsidR="003A48EA">
        <w:t xml:space="preserve"> in Finland</w:t>
      </w:r>
      <w:r w:rsidR="007B5F14">
        <w:t>,</w:t>
      </w:r>
      <w:r w:rsidR="003A48EA">
        <w:t xml:space="preserve"> where rapeseed oils </w:t>
      </w:r>
      <w:r w:rsidR="00936B7E">
        <w:t xml:space="preserve">are commonly consumed undertook screening of 1887 children with atopic dermatitis </w:t>
      </w:r>
      <w:r w:rsidR="007B5F14">
        <w:t>using</w:t>
      </w:r>
      <w:r w:rsidR="00936B7E">
        <w:t xml:space="preserve"> skin prick tests (SPT) for sensitization to </w:t>
      </w:r>
      <w:r w:rsidR="00C9224A">
        <w:t xml:space="preserve">crushed seeds from </w:t>
      </w:r>
      <w:r w:rsidR="00936B7E">
        <w:t>turnip rape (</w:t>
      </w:r>
      <w:r w:rsidR="00936B7E" w:rsidRPr="000643E6">
        <w:rPr>
          <w:i/>
        </w:rPr>
        <w:t>Brassica</w:t>
      </w:r>
      <w:r w:rsidR="00936B7E">
        <w:t xml:space="preserve"> </w:t>
      </w:r>
      <w:r w:rsidR="00936B7E" w:rsidRPr="000643E6">
        <w:rPr>
          <w:i/>
        </w:rPr>
        <w:t>rapa</w:t>
      </w:r>
      <w:r w:rsidR="00936B7E">
        <w:t>) and oilseed rape (</w:t>
      </w:r>
      <w:r w:rsidR="00936B7E" w:rsidRPr="000643E6">
        <w:rPr>
          <w:i/>
        </w:rPr>
        <w:t>Brassica napus</w:t>
      </w:r>
      <w:r w:rsidR="00936B7E">
        <w:t>). Two hundred and six (1</w:t>
      </w:r>
      <w:r w:rsidR="007965BB">
        <w:t>1</w:t>
      </w:r>
      <w:r w:rsidR="00936B7E">
        <w:t xml:space="preserve">%) </w:t>
      </w:r>
      <w:r w:rsidR="0021507C">
        <w:t>tested</w:t>
      </w:r>
      <w:r w:rsidR="00936B7E">
        <w:t xml:space="preserve"> positive for at least one</w:t>
      </w:r>
      <w:r w:rsidR="006B4E36">
        <w:t xml:space="preserve"> species</w:t>
      </w:r>
      <w:r w:rsidR="0021507C">
        <w:t>.</w:t>
      </w:r>
      <w:r w:rsidR="00936B7E">
        <w:t xml:space="preserve"> </w:t>
      </w:r>
      <w:r w:rsidR="0021507C">
        <w:t>O</w:t>
      </w:r>
      <w:r w:rsidR="00D32B80">
        <w:t xml:space="preserve">f </w:t>
      </w:r>
      <w:r w:rsidR="00936B7E">
        <w:t xml:space="preserve">28 children </w:t>
      </w:r>
      <w:r w:rsidR="00A978FC">
        <w:t xml:space="preserve">that </w:t>
      </w:r>
      <w:r w:rsidR="00D32B80">
        <w:t xml:space="preserve">underwent </w:t>
      </w:r>
      <w:r w:rsidR="00D405A7">
        <w:t>an open lip challenge with seeds from turnip rape</w:t>
      </w:r>
      <w:r w:rsidR="0071244E">
        <w:t xml:space="preserve">, </w:t>
      </w:r>
      <w:r w:rsidR="00D32B80">
        <w:t>17 tested positive</w:t>
      </w:r>
      <w:r w:rsidR="007B5F14">
        <w:t>,</w:t>
      </w:r>
      <w:r w:rsidR="00D32B80">
        <w:t xml:space="preserve"> and of the remaining 11 individuals 8 </w:t>
      </w:r>
      <w:r w:rsidR="00975E08">
        <w:t xml:space="preserve">returned </w:t>
      </w:r>
      <w:r w:rsidR="007B5F14">
        <w:t xml:space="preserve">a </w:t>
      </w:r>
      <w:r w:rsidR="00936B7E">
        <w:t xml:space="preserve">positive oral </w:t>
      </w:r>
      <w:r w:rsidR="00D32B80">
        <w:t>food challenge</w:t>
      </w:r>
      <w:r w:rsidR="00936B7E">
        <w:t xml:space="preserve"> (Poikonen et al. 2006).</w:t>
      </w:r>
    </w:p>
    <w:p w14:paraId="56A40388" w14:textId="54C2B8AE" w:rsidR="00936B7E" w:rsidRDefault="00936B7E" w:rsidP="00936B7E"/>
    <w:p w14:paraId="6D286653" w14:textId="340098BD" w:rsidR="00936B7E" w:rsidRDefault="00FB2750" w:rsidP="00936B7E">
      <w:r>
        <w:t xml:space="preserve">Cross-reactivity of rapeseed allergens with related </w:t>
      </w:r>
      <w:r w:rsidRPr="00762AF6">
        <w:rPr>
          <w:i/>
        </w:rPr>
        <w:t>Brassica</w:t>
      </w:r>
      <w:r>
        <w:t xml:space="preserve"> species have been observed, due to </w:t>
      </w:r>
      <w:r w:rsidR="0071244E">
        <w:t>the</w:t>
      </w:r>
      <w:r>
        <w:t xml:space="preserve"> high sequence similarity between the seed storage proteins. </w:t>
      </w:r>
      <w:r w:rsidR="00936B7E">
        <w:t xml:space="preserve">Cross-reactivity between the rapeseed </w:t>
      </w:r>
      <w:r w:rsidR="00B84076">
        <w:t>(</w:t>
      </w:r>
      <w:r w:rsidR="00B84076" w:rsidRPr="00B84076">
        <w:rPr>
          <w:i/>
        </w:rPr>
        <w:t>Brassica napus</w:t>
      </w:r>
      <w:r w:rsidR="00B84076">
        <w:t xml:space="preserve">) </w:t>
      </w:r>
      <w:r w:rsidR="00936B7E">
        <w:t xml:space="preserve">allergen </w:t>
      </w:r>
      <w:r w:rsidR="00D638A1">
        <w:t xml:space="preserve">Bra n 1 (previously referred to as </w:t>
      </w:r>
      <w:r w:rsidR="00936B7E">
        <w:t>BnIII</w:t>
      </w:r>
      <w:r w:rsidR="00D638A1">
        <w:t>)</w:t>
      </w:r>
      <w:r w:rsidR="00936B7E">
        <w:t xml:space="preserve"> and mustard </w:t>
      </w:r>
      <w:r w:rsidR="0071244E">
        <w:t>(</w:t>
      </w:r>
      <w:r w:rsidR="0071244E" w:rsidRPr="00B84076">
        <w:rPr>
          <w:i/>
        </w:rPr>
        <w:t>Sinapis alba</w:t>
      </w:r>
      <w:r w:rsidR="0071244E">
        <w:t xml:space="preserve">) </w:t>
      </w:r>
      <w:r w:rsidR="00936B7E">
        <w:t>allergen</w:t>
      </w:r>
      <w:r w:rsidR="00B84076">
        <w:t xml:space="preserve"> </w:t>
      </w:r>
      <w:r w:rsidR="00936B7E">
        <w:t>Sin a 1 was reported in a study of a single rapeseed-allergic patient that developed respiratory symptoms on inhalation of rapeseed flour</w:t>
      </w:r>
      <w:r w:rsidR="006A14AA">
        <w:t>,</w:t>
      </w:r>
      <w:r w:rsidR="00936B7E">
        <w:t xml:space="preserve"> and </w:t>
      </w:r>
      <w:r w:rsidR="002424D4">
        <w:t>oedema and pruritus of</w:t>
      </w:r>
      <w:r w:rsidR="00936B7E">
        <w:t xml:space="preserve"> lips, oral mucosa and pharynx</w:t>
      </w:r>
      <w:r w:rsidR="006A14AA">
        <w:t>,</w:t>
      </w:r>
      <w:r w:rsidR="00936B7E">
        <w:t xml:space="preserve"> and facial urticaria afte</w:t>
      </w:r>
      <w:r w:rsidR="00B40E46">
        <w:t>r ingestion of mustard sauce. An i</w:t>
      </w:r>
      <w:r w:rsidR="00936B7E">
        <w:t xml:space="preserve">nhibition assay indicated that Sin a 1 inhibited 60% of binding of antibodies </w:t>
      </w:r>
      <w:r w:rsidR="006A14AA">
        <w:t xml:space="preserve">to Bra n 1 </w:t>
      </w:r>
      <w:r w:rsidR="00936B7E">
        <w:t>present in the serum of the rapeseed-allergic patient</w:t>
      </w:r>
      <w:r w:rsidR="006A14AA">
        <w:t>,</w:t>
      </w:r>
      <w:r w:rsidR="00936B7E">
        <w:t xml:space="preserve"> whereas </w:t>
      </w:r>
      <w:r w:rsidR="005972BB">
        <w:t xml:space="preserve">Bra n 1 </w:t>
      </w:r>
      <w:r w:rsidR="00936B7E">
        <w:t>completely inhibited IgE binding to Sin a 1 (Monsalve et al. 1997).</w:t>
      </w:r>
    </w:p>
    <w:p w14:paraId="41EA69E6" w14:textId="77777777" w:rsidR="00936B7E" w:rsidRDefault="00936B7E" w:rsidP="00936B7E"/>
    <w:p w14:paraId="3B1DB857" w14:textId="50F783C2" w:rsidR="00471D9C" w:rsidRPr="006029DC" w:rsidRDefault="00471D9C" w:rsidP="00471D9C">
      <w:r w:rsidRPr="006029DC">
        <w:t>A study by Poikonen et al. (2009) performed allergy testing on fourteen Finnish and fourteen French children with atopic dermatitis, allergies to either wheat, egg, peanut or milk and who previously had a positive SPT to turnip rape (</w:t>
      </w:r>
      <w:r w:rsidR="00AD4DE4">
        <w:rPr>
          <w:i/>
        </w:rPr>
        <w:t>Brassica rapa</w:t>
      </w:r>
      <w:r w:rsidRPr="006029DC">
        <w:t>). In contrast to France, consumption of mustard is low in Finland and it is not consumed in significant amounts by children. All of the children had positive SPT to mustard (</w:t>
      </w:r>
      <w:r w:rsidRPr="006029DC">
        <w:rPr>
          <w:i/>
        </w:rPr>
        <w:t>Sinapis alba</w:t>
      </w:r>
      <w:r w:rsidRPr="006029DC">
        <w:t>); nine Finnish (64%)</w:t>
      </w:r>
      <w:r w:rsidR="0005536A">
        <w:t xml:space="preserve"> </w:t>
      </w:r>
      <w:r w:rsidRPr="006029DC">
        <w:t xml:space="preserve">and seven French children (50%) had positive Sin a 1 IgE tests and five children (36%) from each cohort had a positive lip or oral food </w:t>
      </w:r>
      <w:r w:rsidRPr="00175997">
        <w:t xml:space="preserve">challenge (Table </w:t>
      </w:r>
      <w:r w:rsidR="00945658" w:rsidRPr="00175997">
        <w:t>5.2</w:t>
      </w:r>
      <w:r w:rsidRPr="00175997">
        <w:t>).</w:t>
      </w:r>
    </w:p>
    <w:p w14:paraId="7E35A869" w14:textId="77777777" w:rsidR="00471D9C" w:rsidRPr="006029DC" w:rsidRDefault="00471D9C" w:rsidP="00471D9C"/>
    <w:p w14:paraId="6B8AB6EF" w14:textId="211BDECD" w:rsidR="00471D9C" w:rsidRDefault="00471D9C" w:rsidP="00471D9C">
      <w:r w:rsidRPr="006029DC">
        <w:t>All of the Finnish children had positive SPT and lip or</w:t>
      </w:r>
      <w:r w:rsidR="002424D4">
        <w:t xml:space="preserve"> oral challenge to turnip rape</w:t>
      </w:r>
      <w:r w:rsidRPr="006029DC">
        <w:t>. Although all of the French children h</w:t>
      </w:r>
      <w:r w:rsidR="002424D4">
        <w:t>ad positive SPT to turnip rape</w:t>
      </w:r>
      <w:r w:rsidRPr="006029DC">
        <w:t xml:space="preserve">, 8 children </w:t>
      </w:r>
      <w:r w:rsidR="00C31F41">
        <w:t xml:space="preserve">(57%) </w:t>
      </w:r>
      <w:r w:rsidR="00A062C7">
        <w:t>had positive Bra r </w:t>
      </w:r>
      <w:r w:rsidRPr="006029DC">
        <w:t>1 IgE tests and 5 children (36%) had a positive lip or oral challenges. Twelve Finnish children (86%) had positive tests for oilseed rape (</w:t>
      </w:r>
      <w:r w:rsidRPr="006029DC">
        <w:rPr>
          <w:i/>
        </w:rPr>
        <w:t>Brassica napus</w:t>
      </w:r>
      <w:r w:rsidRPr="006029DC">
        <w:t>) and ten children (71%) had positive Bra n 1 IgE tests</w:t>
      </w:r>
      <w:r w:rsidR="00C31F41">
        <w:t>,</w:t>
      </w:r>
      <w:r w:rsidRPr="006029DC">
        <w:t xml:space="preserve"> however lip or oral challenges were not conducted. Ten French children (71%) had positive SPTs for turnip rape and eight (57%) had positive Bra n 1 IgE </w:t>
      </w:r>
      <w:r w:rsidRPr="00971A49">
        <w:t xml:space="preserve">tests (Table </w:t>
      </w:r>
      <w:r w:rsidR="00BA44AC" w:rsidRPr="00971A49">
        <w:t>5.2</w:t>
      </w:r>
      <w:r w:rsidRPr="00971A49">
        <w:t>).</w:t>
      </w:r>
    </w:p>
    <w:p w14:paraId="2FF09AA7" w14:textId="7C5D7507" w:rsidR="0091739F" w:rsidRDefault="0091739F" w:rsidP="00471D9C"/>
    <w:p w14:paraId="4ACEA85D" w14:textId="50BE9DC9" w:rsidR="0091739F" w:rsidRPr="006029DC" w:rsidRDefault="0091739F" w:rsidP="0091739F">
      <w:r w:rsidRPr="006029DC">
        <w:t xml:space="preserve">To assess IgE cross-reactivity between the three allergens, inhibition experiments using 2S albumins at concentrations of 0 - 1000 ng/mL were performed on sera from four children. Dose dependent IgE inhibition from patient sera </w:t>
      </w:r>
      <w:r w:rsidR="00C06C55">
        <w:t>by all inhibitors was observed.</w:t>
      </w:r>
    </w:p>
    <w:p w14:paraId="285F917E" w14:textId="77777777" w:rsidR="0091739F" w:rsidRPr="006029DC" w:rsidRDefault="0091739F" w:rsidP="00471D9C"/>
    <w:p w14:paraId="440C5EA8" w14:textId="5EC2A627" w:rsidR="00D43DD6" w:rsidRPr="00BA44AC" w:rsidRDefault="00D43DD6" w:rsidP="0024208A">
      <w:pPr>
        <w:pStyle w:val="FSTableTitle"/>
        <w:keepNext/>
        <w:keepLines/>
        <w:rPr>
          <w:b w:val="0"/>
          <w:i/>
        </w:rPr>
      </w:pPr>
      <w:r w:rsidRPr="00BA44AC">
        <w:rPr>
          <w:i/>
        </w:rPr>
        <w:t xml:space="preserve">Table </w:t>
      </w:r>
      <w:r w:rsidR="00BA44AC" w:rsidRPr="00BA44AC">
        <w:rPr>
          <w:i/>
        </w:rPr>
        <w:t xml:space="preserve">5.2 </w:t>
      </w:r>
      <w:r w:rsidRPr="00BA44AC">
        <w:rPr>
          <w:b w:val="0"/>
          <w:i/>
        </w:rPr>
        <w:t xml:space="preserve">Challenge, skin prick test and immunoassay results from Poikonen </w:t>
      </w:r>
      <w:r w:rsidR="002424D4">
        <w:rPr>
          <w:b w:val="0"/>
          <w:i/>
        </w:rPr>
        <w:t>et al. (</w:t>
      </w:r>
      <w:r w:rsidRPr="00BA44AC">
        <w:rPr>
          <w:b w:val="0"/>
          <w:i/>
        </w:rPr>
        <w:t>2009</w:t>
      </w:r>
      <w:r w:rsidR="002424D4">
        <w:rPr>
          <w:b w:val="0"/>
          <w:i/>
        </w:rPr>
        <w:t>)</w:t>
      </w:r>
    </w:p>
    <w:p w14:paraId="4398D327" w14:textId="77777777" w:rsidR="00471D9C" w:rsidRDefault="00471D9C" w:rsidP="0024208A">
      <w:pPr>
        <w:keepNext/>
        <w:keepLines/>
        <w:rPr>
          <w:sz w:val="18"/>
        </w:rPr>
      </w:pPr>
    </w:p>
    <w:tbl>
      <w:tblPr>
        <w:tblStyle w:val="TableGrid"/>
        <w:tblW w:w="9605" w:type="dxa"/>
        <w:tblLook w:val="04A0" w:firstRow="1" w:lastRow="0" w:firstColumn="1" w:lastColumn="0" w:noHBand="0" w:noVBand="1"/>
        <w:tblCaption w:val="Table 5.2 Challenge, skin prick test and immunoassay results from Poikonen 2009 study "/>
      </w:tblPr>
      <w:tblGrid>
        <w:gridCol w:w="1178"/>
        <w:gridCol w:w="1038"/>
        <w:gridCol w:w="1060"/>
        <w:gridCol w:w="1050"/>
        <w:gridCol w:w="1038"/>
        <w:gridCol w:w="1018"/>
        <w:gridCol w:w="1014"/>
        <w:gridCol w:w="1194"/>
        <w:gridCol w:w="1008"/>
        <w:gridCol w:w="7"/>
      </w:tblGrid>
      <w:tr w:rsidR="00471D9C" w:rsidRPr="00EA35C7" w14:paraId="38DA1961" w14:textId="77777777" w:rsidTr="00457AE8">
        <w:trPr>
          <w:gridAfter w:val="1"/>
          <w:wAfter w:w="6" w:type="dxa"/>
          <w:trHeight w:val="482"/>
        </w:trPr>
        <w:tc>
          <w:tcPr>
            <w:tcW w:w="1185" w:type="dxa"/>
            <w:vMerge w:val="restart"/>
          </w:tcPr>
          <w:p w14:paraId="58E96166" w14:textId="77777777" w:rsidR="00471D9C" w:rsidRPr="00EA35C7" w:rsidRDefault="00471D9C" w:rsidP="0024208A">
            <w:pPr>
              <w:keepNext/>
              <w:keepLines/>
              <w:rPr>
                <w:rFonts w:cs="Arial"/>
                <w:sz w:val="18"/>
                <w:szCs w:val="18"/>
              </w:rPr>
            </w:pPr>
          </w:p>
        </w:tc>
        <w:tc>
          <w:tcPr>
            <w:tcW w:w="3121" w:type="dxa"/>
            <w:gridSpan w:val="3"/>
          </w:tcPr>
          <w:p w14:paraId="0C4A64EB" w14:textId="77777777" w:rsidR="00471D9C" w:rsidRPr="00EA35C7" w:rsidRDefault="00471D9C" w:rsidP="0024208A">
            <w:pPr>
              <w:pStyle w:val="FSTableHeading"/>
              <w:keepNext/>
              <w:keepLines/>
            </w:pPr>
            <w:r w:rsidRPr="00EA35C7">
              <w:t>No. with +ve SPT</w:t>
            </w:r>
          </w:p>
        </w:tc>
        <w:tc>
          <w:tcPr>
            <w:tcW w:w="3082" w:type="dxa"/>
            <w:gridSpan w:val="3"/>
          </w:tcPr>
          <w:p w14:paraId="1D0E3D33" w14:textId="382D67DA" w:rsidR="00471D9C" w:rsidRPr="00EA35C7" w:rsidRDefault="002424D4" w:rsidP="0024208A">
            <w:pPr>
              <w:pStyle w:val="FSTableHeading"/>
              <w:keepNext/>
              <w:keepLines/>
            </w:pPr>
            <w:r>
              <w:t>No. with +ve 2</w:t>
            </w:r>
            <w:r w:rsidR="00471D9C" w:rsidRPr="00EA35C7">
              <w:t>S albumin IgE test and</w:t>
            </w:r>
          </w:p>
          <w:p w14:paraId="464E9F59" w14:textId="77777777" w:rsidR="00471D9C" w:rsidRPr="00EA35C7" w:rsidRDefault="00471D9C" w:rsidP="0024208A">
            <w:pPr>
              <w:pStyle w:val="FSTableHeading"/>
              <w:keepNext/>
              <w:keepLines/>
              <w:rPr>
                <w:i/>
              </w:rPr>
            </w:pPr>
            <w:r w:rsidRPr="00EA35C7">
              <w:rPr>
                <w:i/>
              </w:rPr>
              <w:t>IgE ImmunoCAP*</w:t>
            </w:r>
          </w:p>
        </w:tc>
        <w:tc>
          <w:tcPr>
            <w:tcW w:w="2211" w:type="dxa"/>
            <w:gridSpan w:val="2"/>
          </w:tcPr>
          <w:p w14:paraId="514400A8" w14:textId="77777777" w:rsidR="00471D9C" w:rsidRPr="00EA35C7" w:rsidRDefault="00471D9C" w:rsidP="0024208A">
            <w:pPr>
              <w:pStyle w:val="FSTableHeading"/>
              <w:keepNext/>
              <w:keepLines/>
            </w:pPr>
            <w:r w:rsidRPr="00EA35C7">
              <w:t>No. with +ve lip or oral food challenge</w:t>
            </w:r>
          </w:p>
        </w:tc>
      </w:tr>
      <w:tr w:rsidR="00471D9C" w:rsidRPr="002915CE" w14:paraId="248D5324" w14:textId="77777777" w:rsidTr="00457AE8">
        <w:trPr>
          <w:trHeight w:val="1034"/>
        </w:trPr>
        <w:tc>
          <w:tcPr>
            <w:tcW w:w="1185" w:type="dxa"/>
            <w:vMerge/>
          </w:tcPr>
          <w:p w14:paraId="220C6ABE" w14:textId="77777777" w:rsidR="00471D9C" w:rsidRPr="00EA35C7" w:rsidRDefault="00471D9C" w:rsidP="0024208A">
            <w:pPr>
              <w:keepNext/>
              <w:keepLines/>
              <w:rPr>
                <w:rFonts w:cs="Arial"/>
                <w:sz w:val="18"/>
                <w:szCs w:val="18"/>
              </w:rPr>
            </w:pPr>
          </w:p>
        </w:tc>
        <w:tc>
          <w:tcPr>
            <w:tcW w:w="1040" w:type="dxa"/>
          </w:tcPr>
          <w:p w14:paraId="5167BFF5" w14:textId="77777777" w:rsidR="00471D9C" w:rsidRPr="00EA35C7" w:rsidRDefault="00471D9C" w:rsidP="0024208A">
            <w:pPr>
              <w:pStyle w:val="FSTableHeading"/>
              <w:keepNext/>
              <w:keepLines/>
            </w:pPr>
            <w:r w:rsidRPr="00EA35C7">
              <w:t>Mustard</w:t>
            </w:r>
          </w:p>
          <w:p w14:paraId="143BF80B" w14:textId="77777777" w:rsidR="00471D9C" w:rsidRPr="00EA35C7" w:rsidRDefault="00471D9C" w:rsidP="0024208A">
            <w:pPr>
              <w:pStyle w:val="FSTableHeading"/>
              <w:keepNext/>
              <w:keepLines/>
            </w:pPr>
            <w:r w:rsidRPr="00EA35C7">
              <w:rPr>
                <w:i/>
              </w:rPr>
              <w:t>Sinapis alba</w:t>
            </w:r>
          </w:p>
        </w:tc>
        <w:tc>
          <w:tcPr>
            <w:tcW w:w="1060" w:type="dxa"/>
          </w:tcPr>
          <w:p w14:paraId="5BA76FE6" w14:textId="77777777" w:rsidR="00471D9C" w:rsidRPr="00EA35C7" w:rsidRDefault="00471D9C" w:rsidP="0024208A">
            <w:pPr>
              <w:pStyle w:val="FSTableHeading"/>
              <w:keepNext/>
              <w:keepLines/>
            </w:pPr>
            <w:r w:rsidRPr="00EA35C7">
              <w:t>Oilseed rape</w:t>
            </w:r>
          </w:p>
          <w:p w14:paraId="417CA358" w14:textId="77777777" w:rsidR="00471D9C" w:rsidRPr="00EA35C7" w:rsidRDefault="00471D9C" w:rsidP="0024208A">
            <w:pPr>
              <w:pStyle w:val="FSTableHeading"/>
              <w:keepNext/>
              <w:keepLines/>
              <w:rPr>
                <w:i/>
              </w:rPr>
            </w:pPr>
            <w:r w:rsidRPr="00EA35C7">
              <w:rPr>
                <w:i/>
              </w:rPr>
              <w:t>Brassica napus</w:t>
            </w:r>
          </w:p>
          <w:p w14:paraId="65934A2C" w14:textId="77777777" w:rsidR="00471D9C" w:rsidRPr="00EA35C7" w:rsidRDefault="00471D9C" w:rsidP="0024208A">
            <w:pPr>
              <w:pStyle w:val="FSTableHeading"/>
              <w:keepNext/>
              <w:keepLines/>
              <w:rPr>
                <w:i/>
              </w:rPr>
            </w:pPr>
          </w:p>
        </w:tc>
        <w:tc>
          <w:tcPr>
            <w:tcW w:w="1020" w:type="dxa"/>
          </w:tcPr>
          <w:p w14:paraId="5E9166B4" w14:textId="77777777" w:rsidR="00471D9C" w:rsidRPr="00EA35C7" w:rsidRDefault="00471D9C" w:rsidP="0024208A">
            <w:pPr>
              <w:pStyle w:val="FSTableHeading"/>
              <w:keepNext/>
              <w:keepLines/>
            </w:pPr>
            <w:r w:rsidRPr="00EA35C7">
              <w:t xml:space="preserve">Turnip rape </w:t>
            </w:r>
            <w:r w:rsidRPr="00EA35C7">
              <w:rPr>
                <w:i/>
              </w:rPr>
              <w:t>Brassica rapa</w:t>
            </w:r>
          </w:p>
        </w:tc>
        <w:tc>
          <w:tcPr>
            <w:tcW w:w="1040" w:type="dxa"/>
          </w:tcPr>
          <w:p w14:paraId="0B1DF6BD" w14:textId="77777777" w:rsidR="00471D9C" w:rsidRPr="00EA35C7" w:rsidRDefault="00471D9C" w:rsidP="0024208A">
            <w:pPr>
              <w:pStyle w:val="FSTableHeading"/>
              <w:keepNext/>
              <w:keepLines/>
            </w:pPr>
            <w:r w:rsidRPr="00EA35C7">
              <w:t xml:space="preserve">Mustard </w:t>
            </w:r>
          </w:p>
        </w:tc>
        <w:tc>
          <w:tcPr>
            <w:tcW w:w="1021" w:type="dxa"/>
          </w:tcPr>
          <w:p w14:paraId="178F60FE" w14:textId="77777777" w:rsidR="00471D9C" w:rsidRPr="00EA35C7" w:rsidRDefault="00471D9C" w:rsidP="0024208A">
            <w:pPr>
              <w:pStyle w:val="FSTableHeading"/>
              <w:keepNext/>
              <w:keepLines/>
              <w:rPr>
                <w:i/>
              </w:rPr>
            </w:pPr>
            <w:r w:rsidRPr="00EA35C7">
              <w:t>Oilseed rape</w:t>
            </w:r>
          </w:p>
        </w:tc>
        <w:tc>
          <w:tcPr>
            <w:tcW w:w="1021" w:type="dxa"/>
          </w:tcPr>
          <w:p w14:paraId="7288A9D1" w14:textId="77777777" w:rsidR="00471D9C" w:rsidRPr="00EA35C7" w:rsidRDefault="00471D9C" w:rsidP="0024208A">
            <w:pPr>
              <w:pStyle w:val="FSTableHeading"/>
              <w:keepNext/>
              <w:keepLines/>
            </w:pPr>
            <w:r w:rsidRPr="00EA35C7">
              <w:t xml:space="preserve">Turnip rape </w:t>
            </w:r>
          </w:p>
          <w:p w14:paraId="7FE7A3F1" w14:textId="77777777" w:rsidR="00471D9C" w:rsidRPr="00EA35C7" w:rsidRDefault="00471D9C" w:rsidP="0024208A">
            <w:pPr>
              <w:pStyle w:val="FSTableHeading"/>
              <w:keepNext/>
              <w:keepLines/>
            </w:pPr>
          </w:p>
          <w:p w14:paraId="74895FD7" w14:textId="77777777" w:rsidR="00471D9C" w:rsidRPr="00EA35C7" w:rsidRDefault="00471D9C" w:rsidP="0024208A">
            <w:pPr>
              <w:pStyle w:val="FSTableHeading"/>
              <w:keepNext/>
              <w:keepLines/>
            </w:pPr>
          </w:p>
        </w:tc>
        <w:tc>
          <w:tcPr>
            <w:tcW w:w="1197" w:type="dxa"/>
          </w:tcPr>
          <w:p w14:paraId="552EAEB8" w14:textId="77777777" w:rsidR="00471D9C" w:rsidRPr="00EA35C7" w:rsidRDefault="00471D9C" w:rsidP="0024208A">
            <w:pPr>
              <w:pStyle w:val="FSTableHeading"/>
              <w:keepNext/>
              <w:keepLines/>
            </w:pPr>
            <w:r w:rsidRPr="00EA35C7">
              <w:t>Mustard</w:t>
            </w:r>
          </w:p>
        </w:tc>
        <w:tc>
          <w:tcPr>
            <w:tcW w:w="1021" w:type="dxa"/>
            <w:gridSpan w:val="2"/>
          </w:tcPr>
          <w:p w14:paraId="7AF1AD2B" w14:textId="77777777" w:rsidR="00471D9C" w:rsidRPr="00EA35C7" w:rsidRDefault="00471D9C" w:rsidP="0024208A">
            <w:pPr>
              <w:pStyle w:val="FSTableHeading"/>
              <w:keepNext/>
              <w:keepLines/>
            </w:pPr>
            <w:r w:rsidRPr="00EA35C7">
              <w:t>Turnip rape</w:t>
            </w:r>
          </w:p>
        </w:tc>
      </w:tr>
      <w:tr w:rsidR="00471D9C" w:rsidRPr="00E97BA8" w14:paraId="4289DA96" w14:textId="77777777" w:rsidTr="00457AE8">
        <w:trPr>
          <w:trHeight w:val="716"/>
        </w:trPr>
        <w:tc>
          <w:tcPr>
            <w:tcW w:w="1185" w:type="dxa"/>
          </w:tcPr>
          <w:p w14:paraId="5CBB641E" w14:textId="77777777" w:rsidR="00471D9C" w:rsidRPr="00EA35C7" w:rsidRDefault="00471D9C" w:rsidP="0024208A">
            <w:pPr>
              <w:pStyle w:val="FSTableHeading"/>
              <w:keepNext/>
              <w:keepLines/>
            </w:pPr>
            <w:r w:rsidRPr="00EA35C7">
              <w:t xml:space="preserve">Finnish children (n = 14) </w:t>
            </w:r>
          </w:p>
          <w:p w14:paraId="1BFCBD26" w14:textId="1B5F3FF3" w:rsidR="00471D9C" w:rsidRPr="00EA35C7" w:rsidRDefault="00471D9C" w:rsidP="0024208A">
            <w:pPr>
              <w:pStyle w:val="FSTableHeading"/>
              <w:keepNext/>
              <w:keepLines/>
            </w:pPr>
          </w:p>
        </w:tc>
        <w:tc>
          <w:tcPr>
            <w:tcW w:w="1040" w:type="dxa"/>
          </w:tcPr>
          <w:p w14:paraId="49F12402" w14:textId="77777777" w:rsidR="00471D9C" w:rsidRPr="00EA35C7" w:rsidRDefault="00471D9C" w:rsidP="0024208A">
            <w:pPr>
              <w:pStyle w:val="FSTableText"/>
              <w:keepNext/>
              <w:keepLines/>
            </w:pPr>
            <w:r w:rsidRPr="00EA35C7">
              <w:t>14 (100%)</w:t>
            </w:r>
          </w:p>
        </w:tc>
        <w:tc>
          <w:tcPr>
            <w:tcW w:w="1060" w:type="dxa"/>
          </w:tcPr>
          <w:p w14:paraId="42FF4C53" w14:textId="77777777" w:rsidR="00471D9C" w:rsidRPr="00EA35C7" w:rsidRDefault="00471D9C" w:rsidP="0024208A">
            <w:pPr>
              <w:pStyle w:val="FSTableText"/>
              <w:keepNext/>
              <w:keepLines/>
            </w:pPr>
            <w:r w:rsidRPr="00EA35C7">
              <w:t>12 (86%)</w:t>
            </w:r>
          </w:p>
          <w:p w14:paraId="571FDFB2" w14:textId="77777777" w:rsidR="00471D9C" w:rsidRPr="00EA35C7" w:rsidRDefault="00471D9C" w:rsidP="0024208A">
            <w:pPr>
              <w:pStyle w:val="FSTableText"/>
              <w:keepNext/>
              <w:keepLines/>
              <w:rPr>
                <w:i/>
              </w:rPr>
            </w:pPr>
          </w:p>
        </w:tc>
        <w:tc>
          <w:tcPr>
            <w:tcW w:w="1020" w:type="dxa"/>
          </w:tcPr>
          <w:p w14:paraId="7CD59DCE" w14:textId="77777777" w:rsidR="00471D9C" w:rsidRPr="00EA35C7" w:rsidRDefault="00471D9C" w:rsidP="0024208A">
            <w:pPr>
              <w:pStyle w:val="FSTableText"/>
              <w:keepNext/>
              <w:keepLines/>
            </w:pPr>
            <w:r w:rsidRPr="00EA35C7">
              <w:t>14 (100%)</w:t>
            </w:r>
          </w:p>
        </w:tc>
        <w:tc>
          <w:tcPr>
            <w:tcW w:w="1040" w:type="dxa"/>
          </w:tcPr>
          <w:p w14:paraId="2A13E87D" w14:textId="77777777" w:rsidR="00471D9C" w:rsidRPr="00EA35C7" w:rsidRDefault="00471D9C" w:rsidP="0024208A">
            <w:pPr>
              <w:pStyle w:val="FSTableText"/>
              <w:keepNext/>
              <w:keepLines/>
            </w:pPr>
            <w:r w:rsidRPr="00EA35C7">
              <w:t>9 (64%)</w:t>
            </w:r>
          </w:p>
          <w:p w14:paraId="58CAD89A" w14:textId="77777777" w:rsidR="00471D9C" w:rsidRPr="00EA35C7" w:rsidRDefault="00471D9C" w:rsidP="0024208A">
            <w:pPr>
              <w:pStyle w:val="FSTableText"/>
              <w:keepNext/>
              <w:keepLines/>
            </w:pPr>
          </w:p>
          <w:p w14:paraId="78E479F0" w14:textId="77777777" w:rsidR="00471D9C" w:rsidRPr="00EA35C7" w:rsidRDefault="00471D9C" w:rsidP="0024208A">
            <w:pPr>
              <w:pStyle w:val="FSTableText"/>
              <w:keepNext/>
              <w:keepLines/>
              <w:rPr>
                <w:i/>
              </w:rPr>
            </w:pPr>
            <w:r w:rsidRPr="00EA35C7">
              <w:rPr>
                <w:i/>
              </w:rPr>
              <w:t>13 (93%)</w:t>
            </w:r>
          </w:p>
        </w:tc>
        <w:tc>
          <w:tcPr>
            <w:tcW w:w="1021" w:type="dxa"/>
          </w:tcPr>
          <w:p w14:paraId="7026DEE6" w14:textId="77777777" w:rsidR="00471D9C" w:rsidRPr="00EA35C7" w:rsidRDefault="00471D9C" w:rsidP="0024208A">
            <w:pPr>
              <w:pStyle w:val="FSTableText"/>
              <w:keepNext/>
              <w:keepLines/>
            </w:pPr>
            <w:r w:rsidRPr="00EA35C7">
              <w:t>10 (71%)</w:t>
            </w:r>
          </w:p>
          <w:p w14:paraId="1E42215B" w14:textId="77777777" w:rsidR="00471D9C" w:rsidRPr="00EA35C7" w:rsidRDefault="00471D9C" w:rsidP="0024208A">
            <w:pPr>
              <w:pStyle w:val="FSTableText"/>
              <w:keepNext/>
              <w:keepLines/>
            </w:pPr>
          </w:p>
          <w:p w14:paraId="6A066703" w14:textId="77777777" w:rsidR="00471D9C" w:rsidRPr="00EA35C7" w:rsidRDefault="00471D9C" w:rsidP="0024208A">
            <w:pPr>
              <w:pStyle w:val="FSTableText"/>
              <w:keepNext/>
              <w:keepLines/>
              <w:rPr>
                <w:i/>
              </w:rPr>
            </w:pPr>
            <w:r w:rsidRPr="00EA35C7">
              <w:rPr>
                <w:i/>
              </w:rPr>
              <w:t>14 (100%)</w:t>
            </w:r>
          </w:p>
          <w:p w14:paraId="12AADED2" w14:textId="77777777" w:rsidR="00471D9C" w:rsidRPr="00EA35C7" w:rsidRDefault="00471D9C" w:rsidP="0024208A">
            <w:pPr>
              <w:pStyle w:val="FSTableText"/>
              <w:keepNext/>
              <w:keepLines/>
              <w:rPr>
                <w:i/>
              </w:rPr>
            </w:pPr>
          </w:p>
        </w:tc>
        <w:tc>
          <w:tcPr>
            <w:tcW w:w="1021" w:type="dxa"/>
          </w:tcPr>
          <w:p w14:paraId="4032D403" w14:textId="77777777" w:rsidR="00471D9C" w:rsidRPr="00EA35C7" w:rsidRDefault="00471D9C" w:rsidP="0024208A">
            <w:pPr>
              <w:pStyle w:val="FSTableText"/>
              <w:keepNext/>
              <w:keepLines/>
            </w:pPr>
            <w:r w:rsidRPr="00EA35C7">
              <w:t>10 (71%)</w:t>
            </w:r>
          </w:p>
        </w:tc>
        <w:tc>
          <w:tcPr>
            <w:tcW w:w="1197" w:type="dxa"/>
          </w:tcPr>
          <w:p w14:paraId="78FC59FE" w14:textId="77777777" w:rsidR="00471D9C" w:rsidRPr="00EA35C7" w:rsidRDefault="00471D9C" w:rsidP="0024208A">
            <w:pPr>
              <w:pStyle w:val="FSTableText"/>
              <w:keepNext/>
              <w:keepLines/>
            </w:pPr>
            <w:r w:rsidRPr="00EA35C7">
              <w:t>5 (36%)</w:t>
            </w:r>
          </w:p>
        </w:tc>
        <w:tc>
          <w:tcPr>
            <w:tcW w:w="1021" w:type="dxa"/>
            <w:gridSpan w:val="2"/>
          </w:tcPr>
          <w:p w14:paraId="04155C7D" w14:textId="77777777" w:rsidR="00471D9C" w:rsidRPr="00EA35C7" w:rsidRDefault="00471D9C" w:rsidP="0024208A">
            <w:pPr>
              <w:pStyle w:val="FSTableText"/>
              <w:keepNext/>
              <w:keepLines/>
            </w:pPr>
            <w:r w:rsidRPr="00EA35C7">
              <w:t>14 (100%)</w:t>
            </w:r>
          </w:p>
        </w:tc>
      </w:tr>
      <w:tr w:rsidR="00471D9C" w:rsidRPr="00E97BA8" w14:paraId="6E780679" w14:textId="77777777" w:rsidTr="00457AE8">
        <w:trPr>
          <w:trHeight w:val="716"/>
        </w:trPr>
        <w:tc>
          <w:tcPr>
            <w:tcW w:w="1185" w:type="dxa"/>
          </w:tcPr>
          <w:p w14:paraId="3D9388A8" w14:textId="77777777" w:rsidR="00471D9C" w:rsidRPr="00EA35C7" w:rsidRDefault="00471D9C" w:rsidP="0024208A">
            <w:pPr>
              <w:pStyle w:val="FSTableHeading"/>
              <w:keepNext/>
              <w:keepLines/>
            </w:pPr>
            <w:r w:rsidRPr="00EA35C7">
              <w:t>French children (n = 14)</w:t>
            </w:r>
          </w:p>
          <w:p w14:paraId="5FEE588A" w14:textId="7172C545" w:rsidR="00471D9C" w:rsidRPr="00EA35C7" w:rsidRDefault="00471D9C" w:rsidP="0024208A">
            <w:pPr>
              <w:pStyle w:val="FSTableHeading"/>
              <w:keepNext/>
              <w:keepLines/>
            </w:pPr>
          </w:p>
        </w:tc>
        <w:tc>
          <w:tcPr>
            <w:tcW w:w="1040" w:type="dxa"/>
          </w:tcPr>
          <w:p w14:paraId="55C79939" w14:textId="77777777" w:rsidR="00471D9C" w:rsidRPr="00EA35C7" w:rsidRDefault="00471D9C" w:rsidP="0024208A">
            <w:pPr>
              <w:pStyle w:val="FSTableText"/>
              <w:keepNext/>
              <w:keepLines/>
            </w:pPr>
            <w:r w:rsidRPr="00EA35C7">
              <w:t>14 (100%)</w:t>
            </w:r>
          </w:p>
        </w:tc>
        <w:tc>
          <w:tcPr>
            <w:tcW w:w="1060" w:type="dxa"/>
          </w:tcPr>
          <w:p w14:paraId="654DF98B" w14:textId="77777777" w:rsidR="00471D9C" w:rsidRPr="00EA35C7" w:rsidRDefault="00471D9C" w:rsidP="0024208A">
            <w:pPr>
              <w:pStyle w:val="FSTableText"/>
              <w:keepNext/>
              <w:keepLines/>
            </w:pPr>
            <w:r w:rsidRPr="00EA35C7">
              <w:t>10 (71%)</w:t>
            </w:r>
          </w:p>
          <w:p w14:paraId="7B6B4187" w14:textId="77777777" w:rsidR="00471D9C" w:rsidRPr="00EA35C7" w:rsidRDefault="00471D9C" w:rsidP="0024208A">
            <w:pPr>
              <w:pStyle w:val="FSTableText"/>
              <w:keepNext/>
              <w:keepLines/>
              <w:rPr>
                <w:i/>
              </w:rPr>
            </w:pPr>
          </w:p>
        </w:tc>
        <w:tc>
          <w:tcPr>
            <w:tcW w:w="1020" w:type="dxa"/>
          </w:tcPr>
          <w:p w14:paraId="5CBDD7CB" w14:textId="77777777" w:rsidR="00471D9C" w:rsidRPr="00EA35C7" w:rsidRDefault="00471D9C" w:rsidP="0024208A">
            <w:pPr>
              <w:pStyle w:val="FSTableText"/>
              <w:keepNext/>
              <w:keepLines/>
            </w:pPr>
            <w:r w:rsidRPr="00EA35C7">
              <w:t>14 (100%)</w:t>
            </w:r>
          </w:p>
        </w:tc>
        <w:tc>
          <w:tcPr>
            <w:tcW w:w="1040" w:type="dxa"/>
          </w:tcPr>
          <w:p w14:paraId="7A0C7B68" w14:textId="77777777" w:rsidR="00471D9C" w:rsidRPr="00EA35C7" w:rsidRDefault="00471D9C" w:rsidP="0024208A">
            <w:pPr>
              <w:pStyle w:val="FSTableText"/>
              <w:keepNext/>
              <w:keepLines/>
            </w:pPr>
            <w:r w:rsidRPr="00EA35C7">
              <w:t>7 (50%)</w:t>
            </w:r>
          </w:p>
          <w:p w14:paraId="4BE73DDD" w14:textId="77777777" w:rsidR="00471D9C" w:rsidRPr="00EA35C7" w:rsidRDefault="00471D9C" w:rsidP="0024208A">
            <w:pPr>
              <w:pStyle w:val="FSTableText"/>
              <w:keepNext/>
              <w:keepLines/>
            </w:pPr>
          </w:p>
          <w:p w14:paraId="013D3582" w14:textId="77777777" w:rsidR="00471D9C" w:rsidRPr="00EA35C7" w:rsidRDefault="00471D9C" w:rsidP="0024208A">
            <w:pPr>
              <w:pStyle w:val="FSTableText"/>
              <w:keepNext/>
              <w:keepLines/>
              <w:rPr>
                <w:i/>
              </w:rPr>
            </w:pPr>
            <w:r w:rsidRPr="00EA35C7">
              <w:rPr>
                <w:i/>
              </w:rPr>
              <w:t>10 (71%)</w:t>
            </w:r>
          </w:p>
        </w:tc>
        <w:tc>
          <w:tcPr>
            <w:tcW w:w="1021" w:type="dxa"/>
          </w:tcPr>
          <w:p w14:paraId="243A771F" w14:textId="77777777" w:rsidR="00471D9C" w:rsidRPr="00EA35C7" w:rsidRDefault="00471D9C" w:rsidP="0024208A">
            <w:pPr>
              <w:pStyle w:val="FSTableText"/>
              <w:keepNext/>
              <w:keepLines/>
            </w:pPr>
            <w:r w:rsidRPr="00EA35C7">
              <w:t>8 (57%)</w:t>
            </w:r>
          </w:p>
          <w:p w14:paraId="71F8B142" w14:textId="77777777" w:rsidR="00471D9C" w:rsidRPr="00EA35C7" w:rsidRDefault="00471D9C" w:rsidP="0024208A">
            <w:pPr>
              <w:pStyle w:val="FSTableText"/>
              <w:keepNext/>
              <w:keepLines/>
            </w:pPr>
          </w:p>
          <w:p w14:paraId="6CB523E0" w14:textId="77777777" w:rsidR="00471D9C" w:rsidRPr="00EA35C7" w:rsidRDefault="00471D9C" w:rsidP="0024208A">
            <w:pPr>
              <w:pStyle w:val="FSTableText"/>
              <w:keepNext/>
              <w:keepLines/>
              <w:rPr>
                <w:i/>
              </w:rPr>
            </w:pPr>
            <w:r w:rsidRPr="00EA35C7">
              <w:rPr>
                <w:i/>
              </w:rPr>
              <w:t>10 (71%)</w:t>
            </w:r>
          </w:p>
          <w:p w14:paraId="7C2E4A5F" w14:textId="77777777" w:rsidR="00471D9C" w:rsidRPr="00EA35C7" w:rsidRDefault="00471D9C" w:rsidP="0024208A">
            <w:pPr>
              <w:pStyle w:val="FSTableText"/>
              <w:keepNext/>
              <w:keepLines/>
              <w:rPr>
                <w:i/>
              </w:rPr>
            </w:pPr>
          </w:p>
        </w:tc>
        <w:tc>
          <w:tcPr>
            <w:tcW w:w="1021" w:type="dxa"/>
          </w:tcPr>
          <w:p w14:paraId="16E82469" w14:textId="77777777" w:rsidR="00471D9C" w:rsidRPr="00EA35C7" w:rsidRDefault="00471D9C" w:rsidP="0024208A">
            <w:pPr>
              <w:pStyle w:val="FSTableText"/>
              <w:keepNext/>
              <w:keepLines/>
            </w:pPr>
            <w:r w:rsidRPr="00EA35C7">
              <w:t>8 (57%)</w:t>
            </w:r>
          </w:p>
        </w:tc>
        <w:tc>
          <w:tcPr>
            <w:tcW w:w="1197" w:type="dxa"/>
          </w:tcPr>
          <w:p w14:paraId="62C99A66" w14:textId="77777777" w:rsidR="00471D9C" w:rsidRPr="00EA35C7" w:rsidRDefault="00471D9C" w:rsidP="0024208A">
            <w:pPr>
              <w:pStyle w:val="FSTableText"/>
              <w:keepNext/>
              <w:keepLines/>
            </w:pPr>
            <w:r w:rsidRPr="00EA35C7">
              <w:t>5 (36%)</w:t>
            </w:r>
          </w:p>
        </w:tc>
        <w:tc>
          <w:tcPr>
            <w:tcW w:w="1021" w:type="dxa"/>
            <w:gridSpan w:val="2"/>
          </w:tcPr>
          <w:p w14:paraId="6B35151E" w14:textId="77777777" w:rsidR="00471D9C" w:rsidRPr="00EA35C7" w:rsidRDefault="00471D9C" w:rsidP="0024208A">
            <w:pPr>
              <w:pStyle w:val="FSTableText"/>
              <w:keepNext/>
              <w:keepLines/>
            </w:pPr>
            <w:r w:rsidRPr="00EA35C7">
              <w:t>5 (36%)</w:t>
            </w:r>
          </w:p>
        </w:tc>
      </w:tr>
    </w:tbl>
    <w:p w14:paraId="0B5E5087" w14:textId="6D03F69A" w:rsidR="00471D9C" w:rsidRDefault="00471D9C" w:rsidP="0024208A">
      <w:pPr>
        <w:keepNext/>
        <w:keepLines/>
        <w:rPr>
          <w:sz w:val="18"/>
        </w:rPr>
      </w:pPr>
      <w:r>
        <w:t xml:space="preserve">* </w:t>
      </w:r>
      <w:r>
        <w:rPr>
          <w:sz w:val="18"/>
        </w:rPr>
        <w:t>IgE antibodies</w:t>
      </w:r>
      <w:r w:rsidRPr="00CE3FCD">
        <w:rPr>
          <w:sz w:val="18"/>
        </w:rPr>
        <w:t xml:space="preserve"> to oilseed rape and mustard </w:t>
      </w:r>
      <w:r>
        <w:rPr>
          <w:sz w:val="18"/>
        </w:rPr>
        <w:t xml:space="preserve">were tested using </w:t>
      </w:r>
      <w:r w:rsidRPr="00CE3FCD">
        <w:rPr>
          <w:sz w:val="18"/>
        </w:rPr>
        <w:t>ImmunoCAP assay</w:t>
      </w:r>
      <w:r w:rsidR="008B0211">
        <w:rPr>
          <w:sz w:val="18"/>
        </w:rPr>
        <w:t xml:space="preserve">. </w:t>
      </w:r>
      <w:r w:rsidR="008B0211" w:rsidRPr="008B0211">
        <w:rPr>
          <w:sz w:val="18"/>
        </w:rPr>
        <w:t xml:space="preserve">IgE antibodies </w:t>
      </w:r>
      <w:r>
        <w:rPr>
          <w:sz w:val="18"/>
        </w:rPr>
        <w:t xml:space="preserve">to </w:t>
      </w:r>
      <w:r w:rsidRPr="00CE3FCD">
        <w:rPr>
          <w:sz w:val="18"/>
        </w:rPr>
        <w:t xml:space="preserve">2S albumins of turnip rape (Bra r 1), oilseed rape (Bra n 1) and mustard (Sin a 1) allergens were examined using enzyme-linked immunosorbent assay (ELISA). </w:t>
      </w:r>
    </w:p>
    <w:p w14:paraId="3C43FBD2" w14:textId="77777777" w:rsidR="00471D9C" w:rsidRDefault="00471D9C" w:rsidP="00471D9C">
      <w:pPr>
        <w:rPr>
          <w:sz w:val="18"/>
        </w:rPr>
      </w:pPr>
    </w:p>
    <w:p w14:paraId="18202D5C" w14:textId="1800DC35" w:rsidR="00936B7E" w:rsidRDefault="00936B7E" w:rsidP="00936B7E">
      <w:r>
        <w:t>Palomares et al. (2002) describe</w:t>
      </w:r>
      <w:r w:rsidR="006D1C78">
        <w:t>d</w:t>
      </w:r>
      <w:r>
        <w:t xml:space="preserve"> an ELISA inhibition assay in which human sera of mustard-allergic patients inhibited binding of recombinant precursor napin protein Bn</w:t>
      </w:r>
      <w:r w:rsidR="0005536A">
        <w:t xml:space="preserve"> </w:t>
      </w:r>
      <w:r>
        <w:t>1</w:t>
      </w:r>
      <w:r w:rsidR="0005536A">
        <w:t xml:space="preserve"> </w:t>
      </w:r>
      <w:r>
        <w:t>b to polyclonal antiserum to that protein.</w:t>
      </w:r>
    </w:p>
    <w:p w14:paraId="2B665CA5" w14:textId="071E91C4" w:rsidR="00D97FA1" w:rsidRDefault="00D97FA1" w:rsidP="00936B7E"/>
    <w:p w14:paraId="0A5657A8" w14:textId="128F18AA" w:rsidR="00D97FA1" w:rsidRDefault="00D97FA1" w:rsidP="00D97FA1">
      <w:r>
        <w:t>Poikonen et al. (2008) found that 97% (62/64) of children that were sensitized to turnip rape and/or oilseed rape had positive SPT to mustard (</w:t>
      </w:r>
      <w:r w:rsidRPr="009C3535">
        <w:rPr>
          <w:i/>
        </w:rPr>
        <w:t>Sinapis alba</w:t>
      </w:r>
      <w:r>
        <w:t>).</w:t>
      </w:r>
    </w:p>
    <w:p w14:paraId="7745FCA2" w14:textId="60418A31" w:rsidR="00C672A4" w:rsidRDefault="00C672A4" w:rsidP="00936B7E"/>
    <w:p w14:paraId="1C992AC2" w14:textId="771FA092" w:rsidR="00A14F51" w:rsidRDefault="008717D9" w:rsidP="008717D9">
      <w:r>
        <w:t xml:space="preserve">Six entries for food allergens from </w:t>
      </w:r>
      <w:r w:rsidRPr="00C15EEF">
        <w:rPr>
          <w:i/>
        </w:rPr>
        <w:t>Brassica</w:t>
      </w:r>
      <w:r>
        <w:t xml:space="preserve"> species are present in the WHO/International Union of Immunological Societies (IUIS) Allergen Nomenclature database (</w:t>
      </w:r>
      <w:hyperlink r:id="rId19" w:history="1">
        <w:r w:rsidRPr="007D5F76">
          <w:rPr>
            <w:rStyle w:val="Hyperlink"/>
          </w:rPr>
          <w:t>http://www.allergen.org/</w:t>
        </w:r>
      </w:hyperlink>
      <w:r>
        <w:t xml:space="preserve">). These are the proteins Bra n 1 (from </w:t>
      </w:r>
      <w:r w:rsidRPr="00C15EEF">
        <w:rPr>
          <w:i/>
        </w:rPr>
        <w:t>Brassica napus</w:t>
      </w:r>
      <w:r>
        <w:t>), Bra r 1, Bra r </w:t>
      </w:r>
      <w:r w:rsidR="00A14F51">
        <w:t>2 and Bra r 5</w:t>
      </w:r>
      <w:r>
        <w:t xml:space="preserve"> (from </w:t>
      </w:r>
      <w:r w:rsidRPr="008C39D4">
        <w:rPr>
          <w:i/>
        </w:rPr>
        <w:t>B. rapa</w:t>
      </w:r>
      <w:r>
        <w:t xml:space="preserve">), Bra j 1 (from </w:t>
      </w:r>
      <w:r w:rsidRPr="008C39D4">
        <w:rPr>
          <w:i/>
        </w:rPr>
        <w:t>B. juncea</w:t>
      </w:r>
      <w:r>
        <w:t xml:space="preserve">), and Bra o 3 (from </w:t>
      </w:r>
      <w:r w:rsidRPr="003D65E1">
        <w:rPr>
          <w:i/>
        </w:rPr>
        <w:t>B. oleracea</w:t>
      </w:r>
      <w:r>
        <w:t xml:space="preserve"> -cabbage).</w:t>
      </w:r>
      <w:r w:rsidR="00E321C0">
        <w:t xml:space="preserve"> I</w:t>
      </w:r>
      <w:r w:rsidR="00A14F51">
        <w:t xml:space="preserve">nformation </w:t>
      </w:r>
      <w:r w:rsidR="00E321C0">
        <w:t xml:space="preserve">from the database </w:t>
      </w:r>
      <w:r w:rsidR="00A14F51">
        <w:t xml:space="preserve">on </w:t>
      </w:r>
      <w:r w:rsidR="0077677D">
        <w:t xml:space="preserve">the </w:t>
      </w:r>
      <w:r w:rsidR="00A14F51">
        <w:t>allergenicity of these proteins is as follows:</w:t>
      </w:r>
    </w:p>
    <w:p w14:paraId="43F58D1F" w14:textId="77777777" w:rsidR="00A14F51" w:rsidRDefault="00A14F51" w:rsidP="008717D9"/>
    <w:p w14:paraId="2D05DB75" w14:textId="2C886379" w:rsidR="008717D9" w:rsidRDefault="00A14F51" w:rsidP="00B439BF">
      <w:pPr>
        <w:keepLines/>
        <w:ind w:left="567"/>
      </w:pPr>
      <w:r>
        <w:t>Bra n 1: “</w:t>
      </w:r>
      <w:r w:rsidRPr="00A14F51">
        <w:t>In ELISA approximately 80% of the patients had IgE to purified Bra n 1. In SPTs purified Bra n 1 caused positive reactions in all 6 children tested.</w:t>
      </w:r>
      <w:r>
        <w:t xml:space="preserve">” </w:t>
      </w:r>
      <w:r w:rsidR="006123D5">
        <w:t>(</w:t>
      </w:r>
      <w:r w:rsidR="007B07AB" w:rsidRPr="007B07AB">
        <w:t xml:space="preserve">Puumalainen </w:t>
      </w:r>
      <w:r w:rsidR="007B07AB">
        <w:t xml:space="preserve">et al. </w:t>
      </w:r>
      <w:r w:rsidR="007B07AB" w:rsidRPr="007B07AB">
        <w:t>2006</w:t>
      </w:r>
      <w:r w:rsidR="006123D5">
        <w:t>).</w:t>
      </w:r>
    </w:p>
    <w:p w14:paraId="079ACB39" w14:textId="054487C0" w:rsidR="00A14F51" w:rsidRDefault="00A14F51" w:rsidP="008717D9"/>
    <w:p w14:paraId="31187D69" w14:textId="2FF1ED92" w:rsidR="00A14F51" w:rsidRDefault="00A14F51" w:rsidP="00B439BF">
      <w:pPr>
        <w:keepLines/>
        <w:ind w:left="567"/>
      </w:pPr>
      <w:r>
        <w:t>Bra r 1: “</w:t>
      </w:r>
      <w:r w:rsidRPr="00A14F51">
        <w:t>In ELISA, approximately 80% of the 72 patients had IgE binding to purified napin from turnip rape. The 72 patients have atopic dermatitis and clearly positive reactions to seeds of oilseed rape and turnip rape, or both on SPTs.</w:t>
      </w:r>
      <w:r>
        <w:t>”</w:t>
      </w:r>
      <w:r w:rsidR="007B07AB">
        <w:t xml:space="preserve"> </w:t>
      </w:r>
      <w:r w:rsidR="007B07AB" w:rsidRPr="007B07AB">
        <w:t>(Puumalainen et al. 2006).</w:t>
      </w:r>
    </w:p>
    <w:p w14:paraId="6F33CFC1" w14:textId="06BAF87B" w:rsidR="00A062C7" w:rsidRDefault="00A062C7" w:rsidP="007B07AB">
      <w:pPr>
        <w:ind w:left="567"/>
      </w:pPr>
    </w:p>
    <w:p w14:paraId="4DDB4998" w14:textId="3CA2C960" w:rsidR="00A062C7" w:rsidRDefault="00A062C7" w:rsidP="007B07AB">
      <w:pPr>
        <w:ind w:left="567"/>
      </w:pPr>
      <w:r>
        <w:t>Bra r 2: “</w:t>
      </w:r>
      <w:r w:rsidRPr="00A062C7">
        <w:t>Of 60 natural rubber latex-sensitive patients, 51 (82%) showed IgE binding to purified Bra r 2 in ELISA. In 4 out of 6 patients tested purifi</w:t>
      </w:r>
      <w:r>
        <w:t xml:space="preserve">ed Bra r 2 (100 </w:t>
      </w:r>
      <w:r>
        <w:rPr>
          <w:rFonts w:cs="Arial"/>
        </w:rPr>
        <w:t>μ</w:t>
      </w:r>
      <w:r>
        <w:t>g/mL</w:t>
      </w:r>
      <w:r w:rsidRPr="00A062C7">
        <w:t>) induced a positive skin reaction.</w:t>
      </w:r>
      <w:r>
        <w:t>” (Hänninen et al. 1999).</w:t>
      </w:r>
    </w:p>
    <w:p w14:paraId="50F16C5B" w14:textId="09B16438" w:rsidR="00A14F51" w:rsidRDefault="00A14F51" w:rsidP="008717D9"/>
    <w:p w14:paraId="755E6A3E" w14:textId="70B92C83" w:rsidR="00A14F51" w:rsidRDefault="00A14F51" w:rsidP="007B07AB">
      <w:pPr>
        <w:ind w:firstLine="567"/>
      </w:pPr>
      <w:r>
        <w:t xml:space="preserve">Bra r 5: </w:t>
      </w:r>
      <w:r w:rsidR="00E321C0">
        <w:t>N</w:t>
      </w:r>
      <w:r>
        <w:t xml:space="preserve">o text </w:t>
      </w:r>
      <w:r w:rsidR="00E321C0">
        <w:t xml:space="preserve">is </w:t>
      </w:r>
      <w:r w:rsidR="00A062C7">
        <w:t>present</w:t>
      </w:r>
      <w:r w:rsidR="007B07AB">
        <w:t xml:space="preserve"> in the database</w:t>
      </w:r>
      <w:r>
        <w:t>.</w:t>
      </w:r>
    </w:p>
    <w:p w14:paraId="70FB0EE2" w14:textId="537A7B2A" w:rsidR="00A14F51" w:rsidRDefault="00A14F51" w:rsidP="008717D9"/>
    <w:p w14:paraId="1CD3CEC8" w14:textId="5D328F8F" w:rsidR="00A14F51" w:rsidRDefault="00A14F51" w:rsidP="007B07AB">
      <w:pPr>
        <w:ind w:left="567"/>
      </w:pPr>
      <w:r>
        <w:t xml:space="preserve">Bra j 1: </w:t>
      </w:r>
      <w:r w:rsidR="007B07AB">
        <w:t>“</w:t>
      </w:r>
      <w:r w:rsidRPr="00A14F51">
        <w:t>Of 11 mustard-sensitive patients tested, 7 (64%) showed IgE binding on immunoblot to a synthetic peptide (13.8 kD</w:t>
      </w:r>
      <w:r>
        <w:t>) of the large chain of Bra j 1</w:t>
      </w:r>
      <w:r w:rsidR="00A062C7">
        <w:t>.</w:t>
      </w:r>
      <w:r w:rsidR="007B07AB">
        <w:t>”</w:t>
      </w:r>
      <w:r>
        <w:t xml:space="preserve"> (Monsalve et al. 1993).</w:t>
      </w:r>
    </w:p>
    <w:p w14:paraId="7F18CEF0" w14:textId="02CC1D28" w:rsidR="00A062C7" w:rsidRDefault="00A062C7" w:rsidP="007B07AB">
      <w:pPr>
        <w:ind w:left="567"/>
      </w:pPr>
    </w:p>
    <w:p w14:paraId="6B874126" w14:textId="19F93B56" w:rsidR="00A062C7" w:rsidRDefault="00A062C7" w:rsidP="007B07AB">
      <w:pPr>
        <w:ind w:left="567"/>
      </w:pPr>
      <w:r>
        <w:t>Bra o 3: “</w:t>
      </w:r>
      <w:r w:rsidRPr="00A062C7">
        <w:t>Skin prick test with purified Bra o 3 sho</w:t>
      </w:r>
      <w:r>
        <w:t>w</w:t>
      </w:r>
      <w:r w:rsidRPr="00A062C7">
        <w:t>ed positive results in 12 of 14 patients (86%) with cabbage immediate hypersensitivity.</w:t>
      </w:r>
      <w:r>
        <w:t>” (</w:t>
      </w:r>
      <w:r w:rsidRPr="00A062C7">
        <w:t>Palacín</w:t>
      </w:r>
      <w:r>
        <w:t xml:space="preserve"> et al. 2006).</w:t>
      </w:r>
    </w:p>
    <w:p w14:paraId="3BD8CBA2" w14:textId="7581F551" w:rsidR="00A14F51" w:rsidRDefault="00A14F51" w:rsidP="008717D9"/>
    <w:p w14:paraId="4EE26FB9" w14:textId="723D96DF" w:rsidR="0005536A" w:rsidRDefault="0005536A" w:rsidP="0005536A">
      <w:r>
        <w:t>Health Canada undertook a systematic review of the evidence relating to the allergenicity of mustard to determine the scientific validity for inclusion as a priority allergen for labelling. It noted the potential cross-reactivity between mustard and rapeseed</w:t>
      </w:r>
      <w:r w:rsidR="00C31E81">
        <w:t>,</w:t>
      </w:r>
      <w:r>
        <w:t xml:space="preserve"> and as a major producer of both crops concluded that mustard should be included in the list of priority allergens (Health Canada 2010).</w:t>
      </w:r>
    </w:p>
    <w:p w14:paraId="4D5F51FE" w14:textId="77777777" w:rsidR="0005536A" w:rsidRDefault="0005536A" w:rsidP="00936B7E"/>
    <w:p w14:paraId="09EDB300" w14:textId="6C716BE6" w:rsidR="00EE150F" w:rsidRDefault="00A53F5B" w:rsidP="00810A6B">
      <w:r>
        <w:t>EFSA (2013) reviewed the potential allergenicity of rapeseed protein isolate</w:t>
      </w:r>
      <w:r w:rsidR="006A09DD">
        <w:t xml:space="preserve"> </w:t>
      </w:r>
      <w:r w:rsidR="00971A49">
        <w:t xml:space="preserve">produced </w:t>
      </w:r>
      <w:r w:rsidR="006A09DD">
        <w:t xml:space="preserve">from two </w:t>
      </w:r>
      <w:r w:rsidR="006A09DD" w:rsidRPr="00945658">
        <w:rPr>
          <w:i/>
        </w:rPr>
        <w:t>Brassica</w:t>
      </w:r>
      <w:r w:rsidR="006A09DD">
        <w:t xml:space="preserve"> species – </w:t>
      </w:r>
      <w:r w:rsidR="006A09DD" w:rsidRPr="006A09DD">
        <w:rPr>
          <w:i/>
        </w:rPr>
        <w:t>Brassica napus</w:t>
      </w:r>
      <w:r w:rsidR="006A09DD">
        <w:t xml:space="preserve"> and </w:t>
      </w:r>
      <w:r w:rsidR="006A09DD" w:rsidRPr="006A09DD">
        <w:rPr>
          <w:i/>
        </w:rPr>
        <w:t>Brassica rapa</w:t>
      </w:r>
      <w:r>
        <w:t xml:space="preserve">. </w:t>
      </w:r>
      <w:r w:rsidR="00971A49" w:rsidRPr="00971A49">
        <w:t>EFSA concluded that the risk of sensitisation to rapeseed, as well as the risk of cross-reactivity in subjects allergic to mustard, cannot be excluded.</w:t>
      </w:r>
    </w:p>
    <w:p w14:paraId="3F909C46" w14:textId="67DADD49" w:rsidR="00010DE8" w:rsidRDefault="00010DE8" w:rsidP="00810A6B"/>
    <w:p w14:paraId="33780EFC" w14:textId="30DD9CAD" w:rsidR="00010DE8" w:rsidRDefault="00010DE8" w:rsidP="00010DE8">
      <w:r>
        <w:t xml:space="preserve">Data from the 2011-2012 Australian National Nutrition and Physical Activity Survey </w:t>
      </w:r>
      <w:r w:rsidR="00C31E81">
        <w:t xml:space="preserve">(NNPAS) </w:t>
      </w:r>
      <w:r>
        <w:t>indicated that 51% of Australians aged 2 years and above consumed mustard over a two day period and 33% were consumers on any single day</w:t>
      </w:r>
      <w:r w:rsidR="002E4E02">
        <w:t xml:space="preserve"> (</w:t>
      </w:r>
      <w:r w:rsidR="001625B9">
        <w:t>ABS, 2014</w:t>
      </w:r>
      <w:r w:rsidR="002E4E02">
        <w:t>)</w:t>
      </w:r>
      <w:r>
        <w:t xml:space="preserve">. </w:t>
      </w:r>
      <w:r w:rsidR="001625B9">
        <w:t>From t</w:t>
      </w:r>
      <w:r>
        <w:t xml:space="preserve">he </w:t>
      </w:r>
      <w:r w:rsidR="001625B9">
        <w:t>2008/09</w:t>
      </w:r>
      <w:r>
        <w:t xml:space="preserve"> New Zealand </w:t>
      </w:r>
      <w:r w:rsidR="001625B9">
        <w:t xml:space="preserve">Adult </w:t>
      </w:r>
      <w:r>
        <w:t xml:space="preserve">Nutrition Survey </w:t>
      </w:r>
      <w:r w:rsidR="00C31E81">
        <w:t>(NNS)</w:t>
      </w:r>
      <w:r w:rsidR="0024208A">
        <w:t xml:space="preserve"> (Ministry of Health, 2011a; Ministry of Health, 2011b)</w:t>
      </w:r>
      <w:r w:rsidR="001625B9">
        <w:t>,</w:t>
      </w:r>
      <w:r w:rsidR="00C31E81">
        <w:t xml:space="preserve"> </w:t>
      </w:r>
      <w:r>
        <w:t>40% of New Zealanders aged 15 and above</w:t>
      </w:r>
      <w:r w:rsidR="001625B9">
        <w:t xml:space="preserve"> consumed mustard. From the 2002 New Zealand</w:t>
      </w:r>
      <w:r w:rsidR="0024208A">
        <w:t xml:space="preserve"> Children’s Nutrition Survey (Ministry of Health, 2003; Ministry of Health, 2005)</w:t>
      </w:r>
      <w:r>
        <w:t xml:space="preserve">, 43% of those aged 5-14 consumed mustard. </w:t>
      </w:r>
      <w:r w:rsidR="001625B9">
        <w:t xml:space="preserve">These figures were derived using the survey data and FSANZ’s recipe database and included mustard powder, liquid style mustards or foods containing mustard. </w:t>
      </w:r>
      <w:r>
        <w:t>FSANZ is not aware of any case studies of mustard allergy in the Australian or New Zealand population and notes that the Australasian Society of Clinical Immunology and Allergy website does not discuss mustard allergy.</w:t>
      </w:r>
    </w:p>
    <w:p w14:paraId="1181216C" w14:textId="77777777" w:rsidR="00CC2611" w:rsidRDefault="00CC2611" w:rsidP="00810A6B"/>
    <w:p w14:paraId="7C9BC65A" w14:textId="64BEFCB5" w:rsidR="009A6306" w:rsidRDefault="008B0211" w:rsidP="00810A6B">
      <w:pPr>
        <w:rPr>
          <w:lang w:bidi="ar-SA"/>
        </w:rPr>
      </w:pPr>
      <w:r>
        <w:t xml:space="preserve">In </w:t>
      </w:r>
      <w:r w:rsidR="009A6306">
        <w:t>summary</w:t>
      </w:r>
      <w:r>
        <w:t xml:space="preserve">, </w:t>
      </w:r>
      <w:r w:rsidR="00F4358F">
        <w:rPr>
          <w:lang w:bidi="ar-SA"/>
        </w:rPr>
        <w:t>r</w:t>
      </w:r>
      <w:r w:rsidR="00F4358F" w:rsidRPr="009A6306">
        <w:rPr>
          <w:lang w:bidi="ar-SA"/>
        </w:rPr>
        <w:t xml:space="preserve">apeseed </w:t>
      </w:r>
      <w:r w:rsidR="00F4358F">
        <w:rPr>
          <w:rFonts w:cs="Arial"/>
          <w:lang w:val="en-AU"/>
        </w:rPr>
        <w:t>protein isolate contains mustard proteins, and prote</w:t>
      </w:r>
      <w:r w:rsidR="009468C8">
        <w:rPr>
          <w:rFonts w:cs="Arial"/>
          <w:lang w:val="en-AU"/>
        </w:rPr>
        <w:t xml:space="preserve">ins which may cross-react with </w:t>
      </w:r>
      <w:r w:rsidR="009A6306" w:rsidRPr="009A6306">
        <w:rPr>
          <w:lang w:bidi="ar-SA"/>
        </w:rPr>
        <w:t>related</w:t>
      </w:r>
      <w:r w:rsidR="009A6306">
        <w:rPr>
          <w:lang w:bidi="ar-SA"/>
        </w:rPr>
        <w:t xml:space="preserve"> mustard</w:t>
      </w:r>
      <w:r w:rsidR="009A6306" w:rsidRPr="009A6306">
        <w:rPr>
          <w:lang w:bidi="ar-SA"/>
        </w:rPr>
        <w:t xml:space="preserve"> species</w:t>
      </w:r>
      <w:r w:rsidR="009A6306">
        <w:rPr>
          <w:lang w:bidi="ar-SA"/>
        </w:rPr>
        <w:t xml:space="preserve"> due to the</w:t>
      </w:r>
      <w:r w:rsidR="009A6306" w:rsidRPr="009A6306">
        <w:rPr>
          <w:lang w:bidi="ar-SA"/>
        </w:rPr>
        <w:t xml:space="preserve"> high </w:t>
      </w:r>
      <w:r w:rsidR="00C877D3">
        <w:rPr>
          <w:lang w:bidi="ar-SA"/>
        </w:rPr>
        <w:t xml:space="preserve">amino acid </w:t>
      </w:r>
      <w:r w:rsidR="009A6306" w:rsidRPr="009A6306">
        <w:rPr>
          <w:lang w:bidi="ar-SA"/>
        </w:rPr>
        <w:t>sequence similarity between the proteins. FSANZ considers that rapeseed protein isolate has the potential to induce allergic responses in individuals who are allergic to mustard.</w:t>
      </w:r>
    </w:p>
    <w:p w14:paraId="6A71DCDF" w14:textId="2866A51C" w:rsidR="001041C4" w:rsidRDefault="001041C4" w:rsidP="00614DC8">
      <w:pPr>
        <w:pStyle w:val="Heading3"/>
      </w:pPr>
      <w:bookmarkStart w:id="976" w:name="_Toc40360529"/>
      <w:bookmarkStart w:id="977" w:name="_Toc40353572"/>
      <w:bookmarkStart w:id="978" w:name="_Toc40366919"/>
      <w:bookmarkStart w:id="979" w:name="_Toc40368251"/>
      <w:bookmarkStart w:id="980" w:name="_Toc40382857"/>
      <w:bookmarkStart w:id="981" w:name="_Toc40431056"/>
      <w:bookmarkStart w:id="982" w:name="_Toc40432994"/>
      <w:bookmarkStart w:id="983" w:name="_Toc40447679"/>
      <w:bookmarkStart w:id="984" w:name="_Toc40441208"/>
      <w:bookmarkStart w:id="985" w:name="_Toc40448544"/>
      <w:bookmarkStart w:id="986" w:name="_Toc40449972"/>
      <w:bookmarkStart w:id="987" w:name="_Toc40968316"/>
      <w:bookmarkStart w:id="988" w:name="_Toc41051038"/>
      <w:bookmarkStart w:id="989" w:name="_Toc41046038"/>
      <w:bookmarkStart w:id="990" w:name="_Toc41053496"/>
      <w:bookmarkStart w:id="991" w:name="_Toc44592667"/>
      <w:bookmarkStart w:id="992" w:name="_Toc44596179"/>
      <w:bookmarkStart w:id="993" w:name="_Toc44604574"/>
      <w:bookmarkStart w:id="994" w:name="_Toc54169723"/>
      <w:bookmarkStart w:id="995" w:name="_Toc56090012"/>
      <w:r>
        <w:t>5.2.4</w:t>
      </w:r>
      <w:r w:rsidR="002B7DEA">
        <w:tab/>
      </w:r>
      <w:r w:rsidDel="00647AA8">
        <w:t>Contaminants</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5B79D76F" w14:textId="000C49EE" w:rsidR="00E113A9" w:rsidRDefault="001041C4" w:rsidP="001041C4">
      <w:r>
        <w:t>According to a review by van der Spiegel et al</w:t>
      </w:r>
      <w:r w:rsidR="00C11A91">
        <w:t>.</w:t>
      </w:r>
      <w:r>
        <w:t xml:space="preserve"> (2013), </w:t>
      </w:r>
      <w:r w:rsidRPr="00D775B1">
        <w:rPr>
          <w:i/>
        </w:rPr>
        <w:t>Brassica napus</w:t>
      </w:r>
      <w:r>
        <w:t xml:space="preserve"> can accumulate a number of metals. Metals that have been shown to be absorbed by the roots of the plant and translocated to other parts of the plant include lead, cadm</w:t>
      </w:r>
      <w:r w:rsidR="00614DC8">
        <w:t>ium, zinc, copper and chromium.</w:t>
      </w:r>
    </w:p>
    <w:p w14:paraId="3E0F347C" w14:textId="5D8DCFE2" w:rsidR="00372317" w:rsidRDefault="00372317" w:rsidP="001041C4"/>
    <w:p w14:paraId="246CEC4B" w14:textId="3CF84307" w:rsidR="00372317" w:rsidRPr="009B1F55" w:rsidRDefault="00372317" w:rsidP="001041C4">
      <w:r>
        <w:t xml:space="preserve">Analysis of three batches of </w:t>
      </w:r>
      <w:r w:rsidRPr="00372317">
        <w:t>CanolaPRO</w:t>
      </w:r>
      <w:r>
        <w:t xml:space="preserve"> showed zinc levels ranging from 7.59 to 8.24</w:t>
      </w:r>
      <w:r w:rsidR="00A74C06">
        <w:t> </w:t>
      </w:r>
      <w:r>
        <w:t>mg/kg, copper levels ranging from 6.51 to 8.65</w:t>
      </w:r>
      <w:r w:rsidR="00E5310B">
        <w:t xml:space="preserve"> mg/kg, and chromium levels ranging from 0.176 to 0.285 mg/kg. On the basis of a maximum daily intake of 1.9 g/kg bw of rapeseed protein isolate</w:t>
      </w:r>
      <w:r w:rsidR="00A74C06">
        <w:t xml:space="preserve"> as estimated by the applicant</w:t>
      </w:r>
      <w:r w:rsidR="00E5310B">
        <w:t>, overall exposure to zinc, copper and chromium from rapeseed protein isolate would be orders of magnitude lower than the recommended daily intakes of these metals, all of which are essential micronutrients although toxic in excess. Increased dietary exposure to zinc, copper and chromium from the addition of rapeseed protein isolate to the diet is not, therefore, considered to be of safety concern</w:t>
      </w:r>
      <w:r w:rsidR="00E5310B" w:rsidRPr="009B1F55">
        <w:t>.</w:t>
      </w:r>
    </w:p>
    <w:p w14:paraId="3A700A41" w14:textId="049B175C" w:rsidR="009A3BD9" w:rsidRPr="009B1F55" w:rsidRDefault="009A3BD9" w:rsidP="001041C4"/>
    <w:p w14:paraId="740DD64E" w14:textId="17FAE74F" w:rsidR="009B1F55" w:rsidRDefault="001A5778" w:rsidP="009A3BD9">
      <w:r w:rsidRPr="009B1F55">
        <w:t>FSANZ noted in the 25</w:t>
      </w:r>
      <w:r w:rsidRPr="009B1F55">
        <w:rPr>
          <w:vertAlign w:val="superscript"/>
        </w:rPr>
        <w:t>th</w:t>
      </w:r>
      <w:r w:rsidRPr="009B1F55">
        <w:t xml:space="preserve"> Australian Total Diet Survey (</w:t>
      </w:r>
      <w:r w:rsidR="00614DC8">
        <w:t xml:space="preserve">FSANZ, </w:t>
      </w:r>
      <w:r w:rsidRPr="009B1F55">
        <w:t xml:space="preserve">2019) that arsenic and cadmium are environmental contaminants and that eliminating them from the diet is not practical, but that the As Low As Reasonably Achievable (ALARA) principle should be applied with regard to both. </w:t>
      </w:r>
      <w:r w:rsidR="009A3BD9" w:rsidRPr="009B1F55">
        <w:t xml:space="preserve">Preliminary dietary exposure estimates suggest that the inclusion of rapeseed protein estimate in the Australian diet will not significantly increase exposure to these elements. </w:t>
      </w:r>
    </w:p>
    <w:p w14:paraId="68448303" w14:textId="77777777" w:rsidR="006534A3" w:rsidRDefault="006534A3" w:rsidP="009A3BD9">
      <w:pPr>
        <w:rPr>
          <w:lang w:val="en-AU"/>
        </w:rPr>
      </w:pPr>
    </w:p>
    <w:p w14:paraId="72ABF81D" w14:textId="5965AF83" w:rsidR="009A3BD9" w:rsidRPr="001A5778" w:rsidRDefault="009A3BD9" w:rsidP="009A3BD9">
      <w:r w:rsidRPr="001A5778">
        <w:rPr>
          <w:lang w:val="en-AU"/>
        </w:rPr>
        <w:t>Based on the</w:t>
      </w:r>
      <w:r w:rsidRPr="001A5778" w:rsidDel="009E3E4A">
        <w:rPr>
          <w:lang w:val="en-AU"/>
        </w:rPr>
        <w:t xml:space="preserve"> </w:t>
      </w:r>
      <w:r w:rsidRPr="001A5778">
        <w:rPr>
          <w:lang w:val="en-AU"/>
        </w:rPr>
        <w:t xml:space="preserve">dietary exposures </w:t>
      </w:r>
      <w:r w:rsidR="00A74C06" w:rsidRPr="001A5778">
        <w:rPr>
          <w:lang w:val="en-AU"/>
        </w:rPr>
        <w:t xml:space="preserve">to </w:t>
      </w:r>
      <w:r w:rsidRPr="001A5778">
        <w:rPr>
          <w:lang w:val="en-AU"/>
        </w:rPr>
        <w:t xml:space="preserve">rapeseed protein isolate </w:t>
      </w:r>
      <w:r w:rsidR="00A74C06" w:rsidRPr="001A5778">
        <w:rPr>
          <w:lang w:val="en-AU"/>
        </w:rPr>
        <w:t xml:space="preserve">as estimated by FSANZ </w:t>
      </w:r>
      <w:r w:rsidRPr="001A5778">
        <w:rPr>
          <w:lang w:val="en-AU"/>
        </w:rPr>
        <w:t>(</w:t>
      </w:r>
      <w:r w:rsidR="00CF0B63">
        <w:rPr>
          <w:lang w:val="en-AU"/>
        </w:rPr>
        <w:t xml:space="preserve">based on typical use levels </w:t>
      </w:r>
      <w:r w:rsidRPr="001A5778">
        <w:rPr>
          <w:lang w:val="en-AU"/>
        </w:rPr>
        <w:t xml:space="preserve">for </w:t>
      </w:r>
      <w:r w:rsidR="005D16DC">
        <w:rPr>
          <w:lang w:val="en-AU"/>
        </w:rPr>
        <w:t xml:space="preserve">Australians </w:t>
      </w:r>
      <w:r w:rsidRPr="001A5778">
        <w:rPr>
          <w:lang w:val="en-AU"/>
        </w:rPr>
        <w:t>2 years and above, mean 0.</w:t>
      </w:r>
      <w:r w:rsidR="00CF0B63">
        <w:rPr>
          <w:lang w:val="en-AU"/>
        </w:rPr>
        <w:t>67</w:t>
      </w:r>
      <w:r w:rsidRPr="001A5778">
        <w:rPr>
          <w:lang w:val="en-AU"/>
        </w:rPr>
        <w:t xml:space="preserve"> g/kg bw/d</w:t>
      </w:r>
      <w:r w:rsidR="00680D17">
        <w:rPr>
          <w:lang w:val="en-AU"/>
        </w:rPr>
        <w:t>ay</w:t>
      </w:r>
      <w:r w:rsidRPr="001A5778">
        <w:rPr>
          <w:lang w:val="en-AU"/>
        </w:rPr>
        <w:t xml:space="preserve"> and 90</w:t>
      </w:r>
      <w:r w:rsidRPr="001A5778">
        <w:rPr>
          <w:vertAlign w:val="superscript"/>
          <w:lang w:val="en-AU"/>
        </w:rPr>
        <w:t>th</w:t>
      </w:r>
      <w:r w:rsidRPr="001A5778">
        <w:rPr>
          <w:lang w:val="en-AU"/>
        </w:rPr>
        <w:t xml:space="preserve"> percentile of 1.</w:t>
      </w:r>
      <w:r w:rsidR="00CF0B63">
        <w:rPr>
          <w:lang w:val="en-AU"/>
        </w:rPr>
        <w:t>33</w:t>
      </w:r>
      <w:r w:rsidRPr="001A5778">
        <w:rPr>
          <w:lang w:val="en-AU"/>
        </w:rPr>
        <w:t xml:space="preserve"> g/kg bw/d</w:t>
      </w:r>
      <w:r w:rsidR="00680D17">
        <w:rPr>
          <w:lang w:val="en-AU"/>
        </w:rPr>
        <w:t>ay</w:t>
      </w:r>
      <w:r w:rsidRPr="001A5778">
        <w:rPr>
          <w:lang w:val="en-AU"/>
        </w:rPr>
        <w:t xml:space="preserve">) and the analysed lead concentration in rapeseed protein isolate </w:t>
      </w:r>
      <w:r w:rsidR="00D2749F" w:rsidRPr="001A5778">
        <w:rPr>
          <w:lang w:val="en-AU"/>
        </w:rPr>
        <w:t>(</w:t>
      </w:r>
      <w:r w:rsidR="00CF0B63">
        <w:rPr>
          <w:lang w:val="en-AU"/>
        </w:rPr>
        <w:t>0.01</w:t>
      </w:r>
      <w:r w:rsidR="008F6E31">
        <w:rPr>
          <w:lang w:val="en-AU"/>
        </w:rPr>
        <w:t>3</w:t>
      </w:r>
      <w:r w:rsidRPr="001A5778">
        <w:rPr>
          <w:lang w:val="en-AU"/>
        </w:rPr>
        <w:t xml:space="preserve"> mg/kg</w:t>
      </w:r>
      <w:r w:rsidR="00A74C06" w:rsidRPr="001A5778">
        <w:rPr>
          <w:lang w:val="en-AU"/>
        </w:rPr>
        <w:t xml:space="preserve">, the </w:t>
      </w:r>
      <w:r w:rsidR="00CF0B63">
        <w:rPr>
          <w:lang w:val="en-AU"/>
        </w:rPr>
        <w:t>mean</w:t>
      </w:r>
      <w:r w:rsidR="00CF0B63" w:rsidRPr="001A5778">
        <w:rPr>
          <w:lang w:val="en-AU"/>
        </w:rPr>
        <w:t xml:space="preserve"> </w:t>
      </w:r>
      <w:r w:rsidR="00A74C06" w:rsidRPr="001A5778">
        <w:rPr>
          <w:lang w:val="en-AU"/>
        </w:rPr>
        <w:t xml:space="preserve">concentration from </w:t>
      </w:r>
      <w:r w:rsidR="008F6E31">
        <w:rPr>
          <w:lang w:val="en-AU"/>
        </w:rPr>
        <w:t>eight</w:t>
      </w:r>
      <w:r w:rsidR="008F6E31" w:rsidRPr="001A5778">
        <w:rPr>
          <w:lang w:val="en-AU"/>
        </w:rPr>
        <w:t xml:space="preserve"> </w:t>
      </w:r>
      <w:r w:rsidR="00A74C06" w:rsidRPr="001A5778">
        <w:rPr>
          <w:lang w:val="en-AU"/>
        </w:rPr>
        <w:t>batches</w:t>
      </w:r>
      <w:r w:rsidR="00D2749F" w:rsidRPr="001A5778">
        <w:rPr>
          <w:lang w:val="en-AU"/>
        </w:rPr>
        <w:t>)</w:t>
      </w:r>
      <w:r w:rsidRPr="001A5778">
        <w:rPr>
          <w:lang w:val="en-AU"/>
        </w:rPr>
        <w:t>, FSANZ estimated an exposure to lead from the isolate of 0.0</w:t>
      </w:r>
      <w:r w:rsidR="00CF0B63">
        <w:rPr>
          <w:lang w:val="en-AU"/>
        </w:rPr>
        <w:t>0</w:t>
      </w:r>
      <w:r w:rsidR="00263E3F">
        <w:rPr>
          <w:lang w:val="en-AU"/>
        </w:rPr>
        <w:t>9</w:t>
      </w:r>
      <w:r w:rsidRPr="001A5778">
        <w:rPr>
          <w:lang w:val="en-AU"/>
        </w:rPr>
        <w:t xml:space="preserve"> µg/kg bw/day at the mean and 0.0</w:t>
      </w:r>
      <w:r w:rsidR="00263E3F">
        <w:rPr>
          <w:lang w:val="en-AU"/>
        </w:rPr>
        <w:t>17</w:t>
      </w:r>
      <w:r w:rsidR="0011267A">
        <w:rPr>
          <w:lang w:val="en-AU"/>
        </w:rPr>
        <w:t> </w:t>
      </w:r>
      <w:r w:rsidRPr="001A5778">
        <w:rPr>
          <w:lang w:val="en-AU"/>
        </w:rPr>
        <w:t>µg/kg bw/day at the 90th percentile. From the 25</w:t>
      </w:r>
      <w:r w:rsidRPr="001A5778">
        <w:rPr>
          <w:vertAlign w:val="superscript"/>
          <w:lang w:val="en-AU"/>
        </w:rPr>
        <w:t>th</w:t>
      </w:r>
      <w:r w:rsidRPr="001A5778">
        <w:rPr>
          <w:lang w:val="en-AU"/>
        </w:rPr>
        <w:t xml:space="preserve"> </w:t>
      </w:r>
      <w:r w:rsidR="005D16DC">
        <w:rPr>
          <w:lang w:val="en-AU"/>
        </w:rPr>
        <w:t>Australian Total Diet Study (</w:t>
      </w:r>
      <w:r w:rsidRPr="001A5778">
        <w:rPr>
          <w:lang w:val="en-AU"/>
        </w:rPr>
        <w:t>ATDS</w:t>
      </w:r>
      <w:r w:rsidR="005D16DC">
        <w:rPr>
          <w:lang w:val="en-AU"/>
        </w:rPr>
        <w:t>) (FSANZ, 2019)</w:t>
      </w:r>
      <w:r w:rsidRPr="001A5778">
        <w:rPr>
          <w:lang w:val="en-AU"/>
        </w:rPr>
        <w:t xml:space="preserve">, the mean </w:t>
      </w:r>
      <w:r w:rsidR="009E3E4A">
        <w:rPr>
          <w:lang w:val="en-AU"/>
        </w:rPr>
        <w:t xml:space="preserve">dietary </w:t>
      </w:r>
      <w:r w:rsidRPr="001A5778">
        <w:rPr>
          <w:lang w:val="en-AU"/>
        </w:rPr>
        <w:t>exposure to lead for the same age group (2 years and above) was 0.02 – 0.</w:t>
      </w:r>
      <w:r w:rsidRPr="001A5778" w:rsidDel="009E3E4A">
        <w:rPr>
          <w:lang w:val="en-AU"/>
        </w:rPr>
        <w:t>18</w:t>
      </w:r>
      <w:r w:rsidR="009E3E4A">
        <w:rPr>
          <w:lang w:val="en-AU"/>
        </w:rPr>
        <w:t> </w:t>
      </w:r>
      <w:r w:rsidRPr="001A5778">
        <w:rPr>
          <w:lang w:val="en-AU"/>
        </w:rPr>
        <w:t>µg/kg bw/day (lower to upper bound).</w:t>
      </w:r>
    </w:p>
    <w:p w14:paraId="4A5A6B44" w14:textId="77777777" w:rsidR="009A3BD9" w:rsidRPr="001A5778" w:rsidRDefault="009A3BD9" w:rsidP="009A3BD9"/>
    <w:p w14:paraId="3EB5B5B7" w14:textId="70E06C31" w:rsidR="005127B7" w:rsidRDefault="00D2749F" w:rsidP="009A3BD9">
      <w:pPr>
        <w:rPr>
          <w:lang w:val="en-AU"/>
        </w:rPr>
      </w:pPr>
      <w:r w:rsidRPr="001A5778">
        <w:rPr>
          <w:lang w:val="en-AU"/>
        </w:rPr>
        <w:t>T</w:t>
      </w:r>
      <w:r w:rsidR="009A3BD9" w:rsidRPr="001A5778">
        <w:rPr>
          <w:lang w:val="en-AU"/>
        </w:rPr>
        <w:t>he</w:t>
      </w:r>
      <w:r w:rsidR="00224ED4">
        <w:rPr>
          <w:lang w:val="en-AU"/>
        </w:rPr>
        <w:t>se results</w:t>
      </w:r>
      <w:r w:rsidR="009A3BD9" w:rsidRPr="001A5778">
        <w:rPr>
          <w:lang w:val="en-AU"/>
        </w:rPr>
        <w:t xml:space="preserve"> </w:t>
      </w:r>
      <w:r w:rsidR="005127B7">
        <w:rPr>
          <w:lang w:val="en-AU"/>
        </w:rPr>
        <w:t xml:space="preserve">demonstrate that the </w:t>
      </w:r>
      <w:r w:rsidR="009A3BD9" w:rsidRPr="001A5778">
        <w:rPr>
          <w:lang w:val="en-AU"/>
        </w:rPr>
        <w:t>mean exposure to lead from rapeseed protein isolate</w:t>
      </w:r>
      <w:r w:rsidRPr="001A5778">
        <w:rPr>
          <w:lang w:val="en-AU"/>
        </w:rPr>
        <w:t xml:space="preserve"> </w:t>
      </w:r>
      <w:r w:rsidR="009A3BD9" w:rsidRPr="001A5778">
        <w:rPr>
          <w:lang w:val="en-AU"/>
        </w:rPr>
        <w:t>(</w:t>
      </w:r>
      <w:r w:rsidR="009E3E4A">
        <w:rPr>
          <w:lang w:val="en-AU"/>
        </w:rPr>
        <w:t xml:space="preserve">which is </w:t>
      </w:r>
      <w:r w:rsidR="009A3BD9" w:rsidRPr="001A5778">
        <w:rPr>
          <w:lang w:val="en-AU"/>
        </w:rPr>
        <w:t xml:space="preserve">most likely to be reflective of chronic dietary exposure), </w:t>
      </w:r>
      <w:r w:rsidR="005127B7">
        <w:rPr>
          <w:lang w:val="en-AU"/>
        </w:rPr>
        <w:t xml:space="preserve">is much lower than the </w:t>
      </w:r>
      <w:r w:rsidR="00224ED4">
        <w:rPr>
          <w:lang w:val="en-AU"/>
        </w:rPr>
        <w:t xml:space="preserve">mean </w:t>
      </w:r>
      <w:r w:rsidR="005127B7">
        <w:rPr>
          <w:lang w:val="en-AU"/>
        </w:rPr>
        <w:t>amount of lead exposure from all other foods in the diet</w:t>
      </w:r>
      <w:r w:rsidR="00224ED4">
        <w:rPr>
          <w:lang w:val="en-AU"/>
        </w:rPr>
        <w:t xml:space="preserve">. </w:t>
      </w:r>
      <w:r w:rsidR="009E3E4A">
        <w:rPr>
          <w:lang w:val="en-AU"/>
        </w:rPr>
        <w:t>The</w:t>
      </w:r>
      <w:r w:rsidR="009A3BD9" w:rsidRPr="001A5778">
        <w:rPr>
          <w:lang w:val="en-AU"/>
        </w:rPr>
        <w:t xml:space="preserve"> </w:t>
      </w:r>
      <w:r w:rsidR="00224ED4">
        <w:rPr>
          <w:lang w:val="en-AU"/>
        </w:rPr>
        <w:t xml:space="preserve">mean </w:t>
      </w:r>
      <w:r w:rsidR="009E3E4A">
        <w:rPr>
          <w:lang w:val="en-AU"/>
        </w:rPr>
        <w:t xml:space="preserve">lead dietary </w:t>
      </w:r>
      <w:r w:rsidR="00224ED4">
        <w:rPr>
          <w:lang w:val="en-AU"/>
        </w:rPr>
        <w:t xml:space="preserve">exposure from the isolate </w:t>
      </w:r>
      <w:r w:rsidR="009E3E4A">
        <w:rPr>
          <w:lang w:val="en-AU"/>
        </w:rPr>
        <w:t>when</w:t>
      </w:r>
      <w:r w:rsidR="00224ED4">
        <w:rPr>
          <w:lang w:val="en-AU"/>
        </w:rPr>
        <w:t xml:space="preserve"> </w:t>
      </w:r>
      <w:r w:rsidR="009A3BD9" w:rsidRPr="001A5778">
        <w:rPr>
          <w:lang w:val="en-AU"/>
        </w:rPr>
        <w:t>considered</w:t>
      </w:r>
      <w:r w:rsidRPr="001A5778">
        <w:rPr>
          <w:lang w:val="en-AU"/>
        </w:rPr>
        <w:t xml:space="preserve"> together </w:t>
      </w:r>
      <w:r w:rsidR="009A3BD9" w:rsidRPr="001A5778">
        <w:rPr>
          <w:lang w:val="en-AU"/>
        </w:rPr>
        <w:t xml:space="preserve">with the mean lead exposures from the </w:t>
      </w:r>
      <w:r w:rsidRPr="001A5778">
        <w:rPr>
          <w:lang w:val="en-AU"/>
        </w:rPr>
        <w:t>25</w:t>
      </w:r>
      <w:r w:rsidRPr="001A5778">
        <w:rPr>
          <w:vertAlign w:val="superscript"/>
          <w:lang w:val="en-AU"/>
        </w:rPr>
        <w:t>th</w:t>
      </w:r>
      <w:r w:rsidRPr="001A5778">
        <w:rPr>
          <w:lang w:val="en-AU"/>
        </w:rPr>
        <w:t xml:space="preserve"> </w:t>
      </w:r>
      <w:r w:rsidR="009A3BD9" w:rsidRPr="001A5778">
        <w:rPr>
          <w:lang w:val="en-AU"/>
        </w:rPr>
        <w:t xml:space="preserve">ATDS </w:t>
      </w:r>
      <w:r w:rsidR="009E3E4A">
        <w:rPr>
          <w:lang w:val="en-AU"/>
        </w:rPr>
        <w:t>results in</w:t>
      </w:r>
      <w:r w:rsidRPr="001A5778" w:rsidDel="005127B7">
        <w:rPr>
          <w:lang w:val="en-AU"/>
        </w:rPr>
        <w:t xml:space="preserve"> </w:t>
      </w:r>
      <w:r w:rsidR="005127B7">
        <w:rPr>
          <w:lang w:val="en-AU"/>
        </w:rPr>
        <w:t>only a small</w:t>
      </w:r>
      <w:r w:rsidR="005127B7" w:rsidRPr="001A5778">
        <w:rPr>
          <w:lang w:val="en-AU"/>
        </w:rPr>
        <w:t xml:space="preserve"> </w:t>
      </w:r>
      <w:r w:rsidR="009A3BD9" w:rsidRPr="001A5778">
        <w:rPr>
          <w:lang w:val="en-AU"/>
        </w:rPr>
        <w:t xml:space="preserve">increase in </w:t>
      </w:r>
      <w:r w:rsidR="009E3E4A">
        <w:rPr>
          <w:lang w:val="en-AU"/>
        </w:rPr>
        <w:t xml:space="preserve">the total </w:t>
      </w:r>
      <w:r w:rsidR="005127B7">
        <w:rPr>
          <w:lang w:val="en-AU"/>
        </w:rPr>
        <w:t xml:space="preserve">micrograms of </w:t>
      </w:r>
      <w:r w:rsidR="009A3BD9" w:rsidRPr="001A5778">
        <w:rPr>
          <w:lang w:val="en-AU"/>
        </w:rPr>
        <w:t>lead exposure</w:t>
      </w:r>
      <w:r w:rsidR="005127B7">
        <w:rPr>
          <w:lang w:val="en-AU"/>
        </w:rPr>
        <w:t xml:space="preserve"> per kilogram of body weight per day</w:t>
      </w:r>
      <w:r w:rsidR="009A3BD9" w:rsidRPr="001A5778">
        <w:rPr>
          <w:lang w:val="en-AU"/>
        </w:rPr>
        <w:t>.</w:t>
      </w:r>
    </w:p>
    <w:p w14:paraId="20A0F1FF" w14:textId="77777777" w:rsidR="005127B7" w:rsidRDefault="005127B7" w:rsidP="009A3BD9">
      <w:pPr>
        <w:rPr>
          <w:lang w:val="en-AU"/>
        </w:rPr>
      </w:pPr>
    </w:p>
    <w:p w14:paraId="573107B0" w14:textId="343FEE82" w:rsidR="00E113A9" w:rsidRDefault="005127B7" w:rsidP="001041C4">
      <w:r>
        <w:rPr>
          <w:lang w:val="en-AU"/>
        </w:rPr>
        <w:t xml:space="preserve">Lead </w:t>
      </w:r>
      <w:r w:rsidR="00290304" w:rsidRPr="001A5778">
        <w:rPr>
          <w:lang w:val="en-AU"/>
        </w:rPr>
        <w:t xml:space="preserve">exposures </w:t>
      </w:r>
      <w:r>
        <w:rPr>
          <w:lang w:val="en-AU"/>
        </w:rPr>
        <w:t xml:space="preserve">from rapeseed protein isolate </w:t>
      </w:r>
      <w:r w:rsidR="00290304" w:rsidRPr="001A5778">
        <w:rPr>
          <w:lang w:val="en-AU"/>
        </w:rPr>
        <w:t xml:space="preserve">are likely to be </w:t>
      </w:r>
      <w:r>
        <w:rPr>
          <w:lang w:val="en-AU"/>
        </w:rPr>
        <w:t xml:space="preserve">much lower in reality compared to </w:t>
      </w:r>
      <w:r w:rsidR="0059780A">
        <w:rPr>
          <w:lang w:val="en-AU"/>
        </w:rPr>
        <w:t>that</w:t>
      </w:r>
      <w:r>
        <w:rPr>
          <w:lang w:val="en-AU"/>
        </w:rPr>
        <w:t xml:space="preserve"> predicted as</w:t>
      </w:r>
      <w:r w:rsidR="00290304" w:rsidRPr="001A5778" w:rsidDel="005127B7">
        <w:rPr>
          <w:lang w:val="en-AU"/>
        </w:rPr>
        <w:t xml:space="preserve"> </w:t>
      </w:r>
      <w:r w:rsidR="00290304" w:rsidRPr="001A5778">
        <w:rPr>
          <w:lang w:val="en-AU"/>
        </w:rPr>
        <w:t>it was assumed that 100% of food</w:t>
      </w:r>
      <w:r w:rsidR="004B167F">
        <w:rPr>
          <w:lang w:val="en-AU"/>
        </w:rPr>
        <w:t>s within each of the food</w:t>
      </w:r>
      <w:r w:rsidR="00290304" w:rsidRPr="001A5778">
        <w:rPr>
          <w:lang w:val="en-AU"/>
        </w:rPr>
        <w:t xml:space="preserve"> </w:t>
      </w:r>
      <w:r w:rsidR="00C46C5C" w:rsidRPr="001A5778">
        <w:rPr>
          <w:lang w:val="en-AU"/>
        </w:rPr>
        <w:t>c</w:t>
      </w:r>
      <w:r w:rsidR="00C46C5C">
        <w:rPr>
          <w:lang w:val="en-AU"/>
        </w:rPr>
        <w:t>lasses</w:t>
      </w:r>
      <w:r w:rsidR="00C46C5C" w:rsidRPr="001A5778">
        <w:rPr>
          <w:lang w:val="en-AU"/>
        </w:rPr>
        <w:t xml:space="preserve"> </w:t>
      </w:r>
      <w:r w:rsidR="00290304" w:rsidRPr="001A5778">
        <w:rPr>
          <w:lang w:val="en-AU"/>
        </w:rPr>
        <w:t>requested to contain the isolate did so at the proposed</w:t>
      </w:r>
      <w:r w:rsidR="00263E3F">
        <w:rPr>
          <w:lang w:val="en-AU"/>
        </w:rPr>
        <w:t xml:space="preserve"> typical use</w:t>
      </w:r>
      <w:r w:rsidR="00290304" w:rsidRPr="001A5778">
        <w:rPr>
          <w:lang w:val="en-AU"/>
        </w:rPr>
        <w:t xml:space="preserve"> level</w:t>
      </w:r>
      <w:r w:rsidR="00263E3F">
        <w:rPr>
          <w:lang w:val="en-AU"/>
        </w:rPr>
        <w:t>s</w:t>
      </w:r>
      <w:r w:rsidR="00290304" w:rsidRPr="001A5778">
        <w:rPr>
          <w:lang w:val="en-AU"/>
        </w:rPr>
        <w:t>.</w:t>
      </w:r>
      <w:r w:rsidR="00263E3F">
        <w:rPr>
          <w:lang w:val="en-AU"/>
        </w:rPr>
        <w:t xml:space="preserve"> In addition, </w:t>
      </w:r>
      <w:r w:rsidR="004910CD">
        <w:rPr>
          <w:lang w:val="en-AU"/>
        </w:rPr>
        <w:t xml:space="preserve">the applicant indicated that </w:t>
      </w:r>
      <w:r w:rsidR="00263E3F">
        <w:rPr>
          <w:lang w:val="en-AU"/>
        </w:rPr>
        <w:t>the up</w:t>
      </w:r>
      <w:r w:rsidR="000C4E94">
        <w:rPr>
          <w:lang w:val="en-AU"/>
        </w:rPr>
        <w:t>take</w:t>
      </w:r>
      <w:r w:rsidR="00263E3F">
        <w:rPr>
          <w:lang w:val="en-AU"/>
        </w:rPr>
        <w:t xml:space="preserve"> of rapeseed protein isolate into the market is expected to be &lt;0.1%</w:t>
      </w:r>
      <w:r w:rsidR="001A5E72">
        <w:rPr>
          <w:lang w:val="en-AU"/>
        </w:rPr>
        <w:t xml:space="preserve"> therefore </w:t>
      </w:r>
      <w:r w:rsidR="00F27376">
        <w:rPr>
          <w:lang w:val="en-AU"/>
        </w:rPr>
        <w:t xml:space="preserve">indicating that </w:t>
      </w:r>
      <w:r w:rsidR="001A5E72">
        <w:rPr>
          <w:lang w:val="en-AU"/>
        </w:rPr>
        <w:t>these estimates are</w:t>
      </w:r>
      <w:r w:rsidR="00F27376">
        <w:rPr>
          <w:lang w:val="en-AU"/>
        </w:rPr>
        <w:t xml:space="preserve"> even more</w:t>
      </w:r>
      <w:r w:rsidR="001A5E72">
        <w:rPr>
          <w:lang w:val="en-AU"/>
        </w:rPr>
        <w:t xml:space="preserve"> likely to be much lower in reality</w:t>
      </w:r>
      <w:r w:rsidR="00F27376">
        <w:rPr>
          <w:lang w:val="en-AU"/>
        </w:rPr>
        <w:t xml:space="preserve"> and the overall impact on the total diet long term is going to be </w:t>
      </w:r>
      <w:r w:rsidR="009468C8">
        <w:rPr>
          <w:lang w:val="en-AU"/>
        </w:rPr>
        <w:t>low</w:t>
      </w:r>
      <w:r w:rsidR="00263E3F">
        <w:rPr>
          <w:lang w:val="en-AU"/>
        </w:rPr>
        <w:t>.</w:t>
      </w:r>
      <w:r w:rsidR="009E3E4A">
        <w:rPr>
          <w:lang w:val="en-AU"/>
        </w:rPr>
        <w:t xml:space="preserve"> </w:t>
      </w:r>
      <w:r w:rsidR="009A3BD9" w:rsidRPr="00B067BC">
        <w:rPr>
          <w:lang w:val="en-AU"/>
        </w:rPr>
        <w:t xml:space="preserve">FSANZ’s estimated </w:t>
      </w:r>
      <w:r w:rsidR="00F27376">
        <w:rPr>
          <w:lang w:val="en-AU"/>
        </w:rPr>
        <w:t xml:space="preserve">mean </w:t>
      </w:r>
      <w:r w:rsidR="009A3BD9" w:rsidRPr="00B067BC">
        <w:rPr>
          <w:lang w:val="en-AU"/>
        </w:rPr>
        <w:t xml:space="preserve">lead exposure </w:t>
      </w:r>
      <w:r w:rsidR="00F27376">
        <w:rPr>
          <w:lang w:val="en-AU"/>
        </w:rPr>
        <w:t xml:space="preserve">from rapeseed protein isolate </w:t>
      </w:r>
      <w:r w:rsidR="009A3BD9" w:rsidRPr="00B067BC">
        <w:rPr>
          <w:lang w:val="en-AU"/>
        </w:rPr>
        <w:t>would be similar for adults but would be approximately doubled for children, whose mean lead exposures</w:t>
      </w:r>
      <w:r w:rsidR="001802B9">
        <w:rPr>
          <w:lang w:val="en-AU"/>
        </w:rPr>
        <w:t xml:space="preserve"> from the isolate</w:t>
      </w:r>
      <w:r w:rsidR="009A3BD9" w:rsidRPr="00B067BC">
        <w:rPr>
          <w:lang w:val="en-AU"/>
        </w:rPr>
        <w:t xml:space="preserve"> are around double those of the 2</w:t>
      </w:r>
      <w:r w:rsidR="00290304" w:rsidRPr="00B067BC">
        <w:rPr>
          <w:lang w:val="en-AU"/>
        </w:rPr>
        <w:t xml:space="preserve"> years </w:t>
      </w:r>
      <w:r w:rsidR="00290304" w:rsidRPr="009E3E4A">
        <w:rPr>
          <w:lang w:val="en-AU"/>
        </w:rPr>
        <w:t>and above</w:t>
      </w:r>
      <w:r w:rsidR="009A3BD9" w:rsidRPr="009E3E4A">
        <w:rPr>
          <w:lang w:val="en-AU"/>
        </w:rPr>
        <w:t xml:space="preserve"> group</w:t>
      </w:r>
      <w:r w:rsidR="001802B9">
        <w:rPr>
          <w:lang w:val="en-AU"/>
        </w:rPr>
        <w:t xml:space="preserve"> (see Table 6.3)</w:t>
      </w:r>
      <w:r w:rsidR="009A3BD9" w:rsidRPr="009E3E4A">
        <w:rPr>
          <w:lang w:val="en-AU"/>
        </w:rPr>
        <w:t>.</w:t>
      </w:r>
      <w:r w:rsidR="00F27376" w:rsidRPr="009E3E4A">
        <w:rPr>
          <w:lang w:val="en-AU"/>
        </w:rPr>
        <w:t xml:space="preserve"> </w:t>
      </w:r>
      <w:r w:rsidR="00F27376" w:rsidRPr="009E3E4A">
        <w:rPr>
          <w:rFonts w:cs="Arial"/>
          <w:lang w:val="en-AU"/>
        </w:rPr>
        <w:t xml:space="preserve">From rapeseed protein isolate the </w:t>
      </w:r>
      <w:r w:rsidR="00460A0B" w:rsidRPr="009E3E4A">
        <w:rPr>
          <w:rFonts w:cs="Arial"/>
          <w:lang w:val="en-AU"/>
        </w:rPr>
        <w:t>mean</w:t>
      </w:r>
      <w:r w:rsidR="00F27376" w:rsidRPr="009E3E4A">
        <w:rPr>
          <w:rFonts w:cs="Arial"/>
          <w:lang w:val="en-AU"/>
        </w:rPr>
        <w:t xml:space="preserve"> </w:t>
      </w:r>
      <w:r w:rsidR="00460A0B" w:rsidRPr="009E3E4A">
        <w:rPr>
          <w:rFonts w:cs="Arial"/>
          <w:lang w:val="en-AU"/>
        </w:rPr>
        <w:t xml:space="preserve">two day average </w:t>
      </w:r>
      <w:r w:rsidR="00F27376" w:rsidRPr="009E3E4A">
        <w:rPr>
          <w:rFonts w:cs="Arial"/>
          <w:lang w:val="en-AU"/>
        </w:rPr>
        <w:t>exposure</w:t>
      </w:r>
      <w:r w:rsidR="0059780A">
        <w:rPr>
          <w:rFonts w:cs="Arial"/>
          <w:lang w:val="en-AU"/>
        </w:rPr>
        <w:t>s</w:t>
      </w:r>
      <w:r w:rsidR="00F27376" w:rsidRPr="009E3E4A">
        <w:rPr>
          <w:rFonts w:cs="Arial"/>
          <w:lang w:val="en-AU"/>
        </w:rPr>
        <w:t xml:space="preserve"> to lead</w:t>
      </w:r>
      <w:r w:rsidR="004B167F" w:rsidRPr="009E3E4A">
        <w:rPr>
          <w:rFonts w:cs="Arial"/>
          <w:lang w:val="en-AU"/>
        </w:rPr>
        <w:t xml:space="preserve"> for Australians 2 years and above</w:t>
      </w:r>
      <w:r w:rsidR="00F27376" w:rsidRPr="009E3E4A">
        <w:rPr>
          <w:rFonts w:cs="Arial"/>
          <w:lang w:val="en-AU"/>
        </w:rPr>
        <w:t xml:space="preserve"> </w:t>
      </w:r>
      <w:r w:rsidR="00295046">
        <w:rPr>
          <w:rFonts w:cs="Arial"/>
          <w:lang w:val="en-AU"/>
        </w:rPr>
        <w:t>of</w:t>
      </w:r>
      <w:r w:rsidR="00F27376" w:rsidRPr="009E3E4A">
        <w:rPr>
          <w:rFonts w:cs="Arial"/>
          <w:lang w:val="en-AU"/>
        </w:rPr>
        <w:t xml:space="preserve"> 0.0</w:t>
      </w:r>
      <w:r w:rsidR="00460A0B" w:rsidRPr="009E3E4A">
        <w:rPr>
          <w:rFonts w:cs="Arial"/>
          <w:lang w:val="en-AU"/>
        </w:rPr>
        <w:t>09 </w:t>
      </w:r>
      <w:r w:rsidR="004B167F" w:rsidRPr="009E3E4A">
        <w:rPr>
          <w:lang w:val="en-AU"/>
        </w:rPr>
        <w:t>µg/kg bw/day</w:t>
      </w:r>
      <w:r w:rsidR="00460A0B" w:rsidRPr="009E3E4A">
        <w:rPr>
          <w:lang w:val="en-AU"/>
        </w:rPr>
        <w:t xml:space="preserve"> and for children 2-14 years </w:t>
      </w:r>
      <w:r w:rsidR="00295046">
        <w:rPr>
          <w:lang w:val="en-AU"/>
        </w:rPr>
        <w:t>of</w:t>
      </w:r>
      <w:r w:rsidR="00460A0B" w:rsidRPr="009E3E4A">
        <w:rPr>
          <w:lang w:val="en-AU"/>
        </w:rPr>
        <w:t xml:space="preserve"> 0.017 µg/kg bw/day</w:t>
      </w:r>
      <w:r w:rsidR="004B167F" w:rsidRPr="009E3E4A">
        <w:rPr>
          <w:lang w:val="en-AU"/>
        </w:rPr>
        <w:t xml:space="preserve"> </w:t>
      </w:r>
      <w:r w:rsidR="00F27376" w:rsidRPr="009E3E4A">
        <w:rPr>
          <w:rFonts w:cs="Arial"/>
          <w:lang w:val="en-AU"/>
        </w:rPr>
        <w:t>(again assuming 100% foods</w:t>
      </w:r>
      <w:r w:rsidR="004B167F" w:rsidRPr="009E3E4A">
        <w:rPr>
          <w:rFonts w:cs="Arial"/>
          <w:lang w:val="en-AU"/>
        </w:rPr>
        <w:t xml:space="preserve"> in all c</w:t>
      </w:r>
      <w:r w:rsidR="00C46C5C">
        <w:rPr>
          <w:rFonts w:cs="Arial"/>
          <w:lang w:val="en-AU"/>
        </w:rPr>
        <w:t>lasses</w:t>
      </w:r>
      <w:r w:rsidR="004B167F" w:rsidRPr="009E3E4A">
        <w:rPr>
          <w:rFonts w:cs="Arial"/>
          <w:lang w:val="en-AU"/>
        </w:rPr>
        <w:t xml:space="preserve"> at the typical use level</w:t>
      </w:r>
      <w:r w:rsidR="00F27376" w:rsidRPr="009E3E4A">
        <w:rPr>
          <w:rFonts w:cs="Arial"/>
          <w:lang w:val="en-AU"/>
        </w:rPr>
        <w:t>)</w:t>
      </w:r>
      <w:r w:rsidR="004B167F" w:rsidRPr="009E3E4A">
        <w:rPr>
          <w:rFonts w:cs="Arial"/>
          <w:lang w:val="en-AU"/>
        </w:rPr>
        <w:t xml:space="preserve"> </w:t>
      </w:r>
      <w:r w:rsidR="00460A0B" w:rsidRPr="009E3E4A">
        <w:rPr>
          <w:rFonts w:cs="Arial"/>
          <w:lang w:val="en-AU"/>
        </w:rPr>
        <w:t>are</w:t>
      </w:r>
      <w:r w:rsidR="00F27376" w:rsidRPr="009E3E4A">
        <w:rPr>
          <w:rFonts w:cs="Arial"/>
          <w:lang w:val="en-AU"/>
        </w:rPr>
        <w:t xml:space="preserve"> much lower than the 0.3</w:t>
      </w:r>
      <w:r w:rsidR="00031FFF">
        <w:rPr>
          <w:rFonts w:cs="Arial"/>
          <w:lang w:val="en-AU"/>
        </w:rPr>
        <w:t> </w:t>
      </w:r>
      <w:r w:rsidR="00F27376" w:rsidRPr="009E3E4A">
        <w:rPr>
          <w:rFonts w:cs="Arial"/>
          <w:lang w:val="en-AU"/>
        </w:rPr>
        <w:t xml:space="preserve">µg/kg bw/d that is associated with </w:t>
      </w:r>
      <w:r w:rsidR="004B167F" w:rsidRPr="009E3E4A">
        <w:rPr>
          <w:rFonts w:cs="Arial"/>
          <w:lang w:val="en-AU"/>
        </w:rPr>
        <w:t xml:space="preserve">a </w:t>
      </w:r>
      <w:r w:rsidR="00F27376" w:rsidRPr="009E3E4A">
        <w:rPr>
          <w:rFonts w:cs="Arial"/>
          <w:lang w:val="en-AU"/>
        </w:rPr>
        <w:t xml:space="preserve">drop </w:t>
      </w:r>
      <w:r w:rsidR="004B167F" w:rsidRPr="009E3E4A">
        <w:rPr>
          <w:rFonts w:cs="Arial"/>
          <w:lang w:val="en-AU"/>
        </w:rPr>
        <w:t>of 0.5</w:t>
      </w:r>
      <w:r w:rsidR="00F27376" w:rsidRPr="009E3E4A">
        <w:rPr>
          <w:rFonts w:cs="Arial"/>
          <w:lang w:val="en-AU"/>
        </w:rPr>
        <w:t xml:space="preserve"> IQ points</w:t>
      </w:r>
      <w:r w:rsidR="004B167F" w:rsidRPr="009E3E4A">
        <w:rPr>
          <w:rFonts w:cs="Arial"/>
          <w:lang w:val="en-AU"/>
        </w:rPr>
        <w:t xml:space="preserve"> in children as noted by JECFA (JECFA, 2011)</w:t>
      </w:r>
      <w:r w:rsidR="00F27376" w:rsidRPr="009E3E4A">
        <w:rPr>
          <w:rFonts w:cs="Arial"/>
          <w:lang w:val="en-AU"/>
        </w:rPr>
        <w:t>.</w:t>
      </w:r>
      <w:r w:rsidR="009E3E4A">
        <w:rPr>
          <w:rFonts w:cs="Arial"/>
          <w:lang w:val="en-AU"/>
        </w:rPr>
        <w:t xml:space="preserve"> Based on all of these factors combined</w:t>
      </w:r>
      <w:r w:rsidR="001802B9">
        <w:rPr>
          <w:rFonts w:cs="Arial"/>
          <w:lang w:val="en-AU"/>
        </w:rPr>
        <w:t xml:space="preserve">, </w:t>
      </w:r>
      <w:r w:rsidR="001802B9">
        <w:t xml:space="preserve">increased dietary exposure to lead from the addition of rapeseed protein isolate to the diet </w:t>
      </w:r>
      <w:r w:rsidR="00671926">
        <w:t xml:space="preserve">at the mean analysed lead concentration </w:t>
      </w:r>
      <w:r w:rsidR="001802B9">
        <w:t xml:space="preserve">is therefore </w:t>
      </w:r>
      <w:r w:rsidR="00031FFF">
        <w:t xml:space="preserve">not </w:t>
      </w:r>
      <w:r w:rsidR="001802B9">
        <w:t>considered to be of a safety concern</w:t>
      </w:r>
      <w:r w:rsidR="001802B9" w:rsidRPr="009B1F55">
        <w:t>.</w:t>
      </w:r>
    </w:p>
    <w:p w14:paraId="22F3C9B1" w14:textId="1F04F293" w:rsidR="001041C4" w:rsidRDefault="001041C4" w:rsidP="00E41BD5">
      <w:pPr>
        <w:pStyle w:val="Heading2"/>
      </w:pPr>
      <w:bookmarkStart w:id="996" w:name="_Toc40360530"/>
      <w:bookmarkStart w:id="997" w:name="_Toc40353573"/>
      <w:bookmarkStart w:id="998" w:name="_Toc40366920"/>
      <w:bookmarkStart w:id="999" w:name="_Toc40368252"/>
      <w:bookmarkStart w:id="1000" w:name="_Toc40382858"/>
      <w:bookmarkStart w:id="1001" w:name="_Toc40431057"/>
      <w:bookmarkStart w:id="1002" w:name="_Toc40432995"/>
      <w:bookmarkStart w:id="1003" w:name="_Toc40447680"/>
      <w:bookmarkStart w:id="1004" w:name="_Toc40441209"/>
      <w:bookmarkStart w:id="1005" w:name="_Toc40448545"/>
      <w:bookmarkStart w:id="1006" w:name="_Toc40449973"/>
      <w:bookmarkStart w:id="1007" w:name="_Toc40968317"/>
      <w:bookmarkStart w:id="1008" w:name="_Toc41051039"/>
      <w:bookmarkStart w:id="1009" w:name="_Toc41046039"/>
      <w:bookmarkStart w:id="1010" w:name="_Toc41053497"/>
      <w:bookmarkStart w:id="1011" w:name="_Toc44592668"/>
      <w:bookmarkStart w:id="1012" w:name="_Toc44596180"/>
      <w:bookmarkStart w:id="1013" w:name="_Toc44604575"/>
      <w:bookmarkStart w:id="1014" w:name="_Toc54169724"/>
      <w:bookmarkStart w:id="1015" w:name="_Toc56090013"/>
      <w:r>
        <w:t>5.3</w:t>
      </w:r>
      <w:r w:rsidR="002B7DEA">
        <w:tab/>
      </w:r>
      <w:r>
        <w:t>Assessments by other agencies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7D8D5C4B" w14:textId="77A46699" w:rsidR="001041C4" w:rsidRDefault="0081719B" w:rsidP="001041C4">
      <w:pPr>
        <w:rPr>
          <w:lang w:bidi="ar-SA"/>
        </w:rPr>
      </w:pPr>
      <w:r>
        <w:rPr>
          <w:lang w:bidi="ar-SA"/>
        </w:rPr>
        <w:t>A r</w:t>
      </w:r>
      <w:r w:rsidR="001041C4">
        <w:rPr>
          <w:lang w:bidi="ar-SA"/>
        </w:rPr>
        <w:t>apeseed protein isolate</w:t>
      </w:r>
      <w:r>
        <w:rPr>
          <w:lang w:bidi="ar-SA"/>
        </w:rPr>
        <w:t>,</w:t>
      </w:r>
      <w:r w:rsidR="001041C4">
        <w:rPr>
          <w:lang w:bidi="ar-SA"/>
        </w:rPr>
        <w:t xml:space="preserve"> </w:t>
      </w:r>
      <w:r w:rsidR="00654FDB">
        <w:rPr>
          <w:lang w:bidi="ar-SA"/>
        </w:rPr>
        <w:t xml:space="preserve">containing </w:t>
      </w:r>
      <w:r w:rsidR="00654FDB" w:rsidRPr="003242F1">
        <w:rPr>
          <w:i/>
          <w:lang w:bidi="ar-SA"/>
        </w:rPr>
        <w:t>Brassica napus</w:t>
      </w:r>
      <w:r w:rsidR="00654FDB">
        <w:rPr>
          <w:lang w:bidi="ar-SA"/>
        </w:rPr>
        <w:t xml:space="preserve"> and </w:t>
      </w:r>
      <w:r w:rsidR="00654FDB" w:rsidRPr="003242F1">
        <w:rPr>
          <w:i/>
          <w:lang w:bidi="ar-SA"/>
        </w:rPr>
        <w:t>Brassica rapa</w:t>
      </w:r>
      <w:r w:rsidR="00654FDB">
        <w:rPr>
          <w:lang w:bidi="ar-SA"/>
        </w:rPr>
        <w:t xml:space="preserve"> </w:t>
      </w:r>
      <w:r>
        <w:rPr>
          <w:lang w:bidi="ar-SA"/>
        </w:rPr>
        <w:t>only</w:t>
      </w:r>
      <w:r w:rsidR="007E32C0">
        <w:rPr>
          <w:lang w:bidi="ar-SA"/>
        </w:rPr>
        <w:t>,</w:t>
      </w:r>
      <w:r>
        <w:rPr>
          <w:lang w:bidi="ar-SA"/>
        </w:rPr>
        <w:t xml:space="preserve"> was</w:t>
      </w:r>
      <w:r w:rsidR="001041C4">
        <w:rPr>
          <w:lang w:bidi="ar-SA"/>
        </w:rPr>
        <w:t xml:space="preserve"> assessed and authorized as a novel food ingredient by </w:t>
      </w:r>
      <w:r w:rsidR="001041C4" w:rsidRPr="005E5A13">
        <w:rPr>
          <w:lang w:bidi="ar-SA"/>
        </w:rPr>
        <w:t>EFSA in 2014</w:t>
      </w:r>
      <w:r w:rsidR="001041C4">
        <w:rPr>
          <w:lang w:bidi="ar-SA"/>
        </w:rPr>
        <w:t xml:space="preserve">, and </w:t>
      </w:r>
      <w:r>
        <w:rPr>
          <w:lang w:bidi="ar-SA"/>
        </w:rPr>
        <w:t xml:space="preserve">in 2017 </w:t>
      </w:r>
      <w:r w:rsidR="001041C4">
        <w:rPr>
          <w:lang w:bidi="ar-SA"/>
        </w:rPr>
        <w:t>CanolaPRO was assessed as being substantially equivalent to the rapeseed protein isolate that was the subject of the 2014 assessment (</w:t>
      </w:r>
      <w:r w:rsidR="001041C4" w:rsidRPr="00CC3447">
        <w:rPr>
          <w:lang w:bidi="ar-SA"/>
        </w:rPr>
        <w:t>FSAI 2017</w:t>
      </w:r>
      <w:r w:rsidR="001041C4">
        <w:rPr>
          <w:lang w:bidi="ar-SA"/>
        </w:rPr>
        <w:t>). The EFSA Panel noted in their discussion (EFSA 2013) that anti-nutritional effects could not be excluded if rapeseed protein isolate was the main protein source in the diet, but considered that such a scenario is extreme and unrealistic, and implies the consumption of an unbalanced diet, which is not recommended. EFSA also concluded that it is likely that rapeseed protein isolate can trigger allergic reactions.</w:t>
      </w:r>
    </w:p>
    <w:p w14:paraId="331AB703" w14:textId="77777777" w:rsidR="001041C4" w:rsidRDefault="001041C4" w:rsidP="001041C4">
      <w:pPr>
        <w:rPr>
          <w:lang w:bidi="ar-SA"/>
        </w:rPr>
      </w:pPr>
    </w:p>
    <w:p w14:paraId="48735D60" w14:textId="37D1FE0B" w:rsidR="001041C4" w:rsidRDefault="001041C4" w:rsidP="001041C4">
      <w:pPr>
        <w:rPr>
          <w:lang w:bidi="ar-SA"/>
        </w:rPr>
      </w:pPr>
      <w:r>
        <w:rPr>
          <w:lang w:bidi="ar-SA"/>
        </w:rPr>
        <w:t>EFSA (2013) reviewed a small number of dietary studies in rats that have not been reviewed by FSANZ. Two of the studies, a teratogenicity study in rats and a 28-day toxicity study in rats, lacked sufficient information on the composition of the test article for EFSA to draw conclusions on their relevance to EFSA’s review. For this reason, FSANZ did not consider retrieval of the papers to be justified. EFSA also reviewed two articles concerning 90-day dietary studies in rats. The isolates were not comparable to the rapeseed protein isolate that is the subject of this application, because one of them consisted primarily (&gt;80%) of cruciferin, and the other consisted primarily (&gt;80%) of napin. FSANZ did not retrieve these studies because of these differences in composition but notes that no adverse effects were observed in association with the cruciferin-rich isolate at up to 20% of the diet, and that adverse effects of the napin-rich isolate were consistent with anti-nutritional effects, such as low palatability and/or gastrointestinal discomfort, rat</w:t>
      </w:r>
      <w:r w:rsidR="009468C8">
        <w:rPr>
          <w:lang w:bidi="ar-SA"/>
        </w:rPr>
        <w:t>her than toxicological effects.</w:t>
      </w:r>
    </w:p>
    <w:p w14:paraId="72DF987E" w14:textId="17C120CE" w:rsidR="00800A3B" w:rsidRDefault="00800A3B" w:rsidP="001041C4">
      <w:pPr>
        <w:rPr>
          <w:lang w:bidi="ar-SA"/>
        </w:rPr>
      </w:pPr>
    </w:p>
    <w:p w14:paraId="67144B69" w14:textId="588E4A12" w:rsidR="00800A3B" w:rsidRDefault="00800A3B" w:rsidP="001041C4">
      <w:pPr>
        <w:rPr>
          <w:lang w:bidi="ar-SA"/>
        </w:rPr>
      </w:pPr>
      <w:r>
        <w:rPr>
          <w:lang w:bidi="ar-SA"/>
        </w:rPr>
        <w:t xml:space="preserve">More recently, EFSA assessed the safety of a rapeseed </w:t>
      </w:r>
      <w:r w:rsidRPr="00800A3B">
        <w:rPr>
          <w:lang w:bidi="ar-SA"/>
        </w:rPr>
        <w:t xml:space="preserve">powder from </w:t>
      </w:r>
      <w:r w:rsidRPr="003242F1">
        <w:rPr>
          <w:i/>
          <w:lang w:bidi="ar-SA"/>
        </w:rPr>
        <w:t>Brassica rapa</w:t>
      </w:r>
      <w:r w:rsidRPr="00800A3B">
        <w:rPr>
          <w:lang w:bidi="ar-SA"/>
        </w:rPr>
        <w:t xml:space="preserve"> and </w:t>
      </w:r>
      <w:r w:rsidRPr="003242F1">
        <w:rPr>
          <w:i/>
          <w:lang w:bidi="ar-SA"/>
        </w:rPr>
        <w:t>Brassica napus</w:t>
      </w:r>
      <w:r w:rsidRPr="00800A3B">
        <w:rPr>
          <w:lang w:bidi="ar-SA"/>
        </w:rPr>
        <w:t xml:space="preserve"> as a novel food</w:t>
      </w:r>
      <w:r>
        <w:rPr>
          <w:lang w:bidi="ar-SA"/>
        </w:rPr>
        <w:t>, and concluded t</w:t>
      </w:r>
      <w:r w:rsidRPr="00800A3B">
        <w:rPr>
          <w:lang w:bidi="ar-SA"/>
        </w:rPr>
        <w:t>he levels of undesirable compounds in th</w:t>
      </w:r>
      <w:r>
        <w:rPr>
          <w:lang w:bidi="ar-SA"/>
        </w:rPr>
        <w:t>e powder, including erucic acid and</w:t>
      </w:r>
      <w:r w:rsidRPr="00800A3B">
        <w:rPr>
          <w:lang w:bidi="ar-SA"/>
        </w:rPr>
        <w:t xml:space="preserve"> glucosinolates, are below levels which would raise concerns</w:t>
      </w:r>
      <w:r>
        <w:rPr>
          <w:lang w:bidi="ar-SA"/>
        </w:rPr>
        <w:t xml:space="preserve"> (EFSA 2020)</w:t>
      </w:r>
      <w:r w:rsidRPr="00800A3B">
        <w:rPr>
          <w:lang w:bidi="ar-SA"/>
        </w:rPr>
        <w:t>.</w:t>
      </w:r>
    </w:p>
    <w:p w14:paraId="0CD2178D" w14:textId="77777777" w:rsidR="001041C4" w:rsidRDefault="001041C4" w:rsidP="001041C4">
      <w:pPr>
        <w:rPr>
          <w:lang w:bidi="ar-SA"/>
        </w:rPr>
      </w:pPr>
    </w:p>
    <w:p w14:paraId="72DE305F" w14:textId="5E516A26" w:rsidR="001041C4" w:rsidRDefault="001041C4" w:rsidP="001041C4">
      <w:pPr>
        <w:rPr>
          <w:lang w:bidi="ar-SA"/>
        </w:rPr>
      </w:pPr>
      <w:r>
        <w:rPr>
          <w:lang w:bidi="ar-SA"/>
        </w:rPr>
        <w:t>Rapeseed protein isolates including the applicant’s CanolaPRO have been the subjects of three GRAS noti</w:t>
      </w:r>
      <w:r w:rsidR="003242F1">
        <w:rPr>
          <w:lang w:bidi="ar-SA"/>
        </w:rPr>
        <w:t>fications</w:t>
      </w:r>
      <w:r>
        <w:rPr>
          <w:lang w:bidi="ar-SA"/>
        </w:rPr>
        <w:t>, and the US FDA responded with no questions let</w:t>
      </w:r>
      <w:r w:rsidR="009468C8">
        <w:rPr>
          <w:lang w:bidi="ar-SA"/>
        </w:rPr>
        <w:t>ters to all three GRAS noti</w:t>
      </w:r>
      <w:r w:rsidR="003242F1">
        <w:rPr>
          <w:lang w:bidi="ar-SA"/>
        </w:rPr>
        <w:t>fications</w:t>
      </w:r>
      <w:r w:rsidR="009468C8">
        <w:rPr>
          <w:lang w:bidi="ar-SA"/>
        </w:rPr>
        <w:t>.</w:t>
      </w:r>
      <w:r w:rsidR="003242F1">
        <w:rPr>
          <w:lang w:bidi="ar-SA"/>
        </w:rPr>
        <w:t xml:space="preserve"> However these are not assessments by a regulatory agency.  </w:t>
      </w:r>
    </w:p>
    <w:p w14:paraId="1791BB7C" w14:textId="5395D613" w:rsidR="00EE43DF" w:rsidRDefault="00EE43DF" w:rsidP="001041C4">
      <w:pPr>
        <w:rPr>
          <w:lang w:bidi="ar-SA"/>
        </w:rPr>
      </w:pPr>
    </w:p>
    <w:p w14:paraId="36428679" w14:textId="7B62CDD7" w:rsidR="00EE43DF" w:rsidRDefault="00B91602" w:rsidP="001041C4">
      <w:pPr>
        <w:rPr>
          <w:lang w:bidi="ar-SA"/>
        </w:rPr>
      </w:pPr>
      <w:r>
        <w:rPr>
          <w:lang w:bidi="ar-SA"/>
        </w:rPr>
        <w:t xml:space="preserve">Information on </w:t>
      </w:r>
      <w:r w:rsidRPr="00B91602">
        <w:rPr>
          <w:lang w:bidi="ar-SA"/>
        </w:rPr>
        <w:t>a</w:t>
      </w:r>
      <w:r w:rsidR="00EE43DF" w:rsidRPr="00B91602">
        <w:rPr>
          <w:lang w:bidi="ar-SA"/>
        </w:rPr>
        <w:t xml:space="preserve">llergenicity assessments by other agencies </w:t>
      </w:r>
      <w:r>
        <w:rPr>
          <w:lang w:bidi="ar-SA"/>
        </w:rPr>
        <w:t>is provided in Section 5.2.3.</w:t>
      </w:r>
    </w:p>
    <w:p w14:paraId="43D76563" w14:textId="75F536F8" w:rsidR="00705AF6" w:rsidRDefault="00705AF6" w:rsidP="00E41BD5">
      <w:pPr>
        <w:pStyle w:val="Heading2"/>
      </w:pPr>
      <w:bookmarkStart w:id="1016" w:name="_Toc39579296"/>
      <w:bookmarkStart w:id="1017" w:name="_Toc39579359"/>
      <w:bookmarkStart w:id="1018" w:name="_Toc39587117"/>
      <w:bookmarkStart w:id="1019" w:name="_Toc39582509"/>
      <w:bookmarkStart w:id="1020" w:name="_Toc40264928"/>
      <w:bookmarkStart w:id="1021" w:name="_Toc40266404"/>
      <w:bookmarkStart w:id="1022" w:name="_Toc40279737"/>
      <w:bookmarkStart w:id="1023" w:name="_Toc40282039"/>
      <w:bookmarkStart w:id="1024" w:name="_Toc40282201"/>
      <w:bookmarkStart w:id="1025" w:name="_Toc40360531"/>
      <w:bookmarkStart w:id="1026" w:name="_Toc40353574"/>
      <w:bookmarkStart w:id="1027" w:name="_Toc40366921"/>
      <w:bookmarkStart w:id="1028" w:name="_Toc40368253"/>
      <w:bookmarkStart w:id="1029" w:name="_Toc40382859"/>
      <w:bookmarkStart w:id="1030" w:name="_Toc40431058"/>
      <w:bookmarkStart w:id="1031" w:name="_Toc40432996"/>
      <w:bookmarkStart w:id="1032" w:name="_Toc40447681"/>
      <w:bookmarkStart w:id="1033" w:name="_Toc40441210"/>
      <w:bookmarkStart w:id="1034" w:name="_Toc40448546"/>
      <w:bookmarkStart w:id="1035" w:name="_Toc40449974"/>
      <w:bookmarkStart w:id="1036" w:name="_Toc40968318"/>
      <w:bookmarkStart w:id="1037" w:name="_Toc41051040"/>
      <w:bookmarkStart w:id="1038" w:name="_Toc41046040"/>
      <w:bookmarkStart w:id="1039" w:name="_Toc41053498"/>
      <w:bookmarkStart w:id="1040" w:name="_Toc44592669"/>
      <w:bookmarkStart w:id="1041" w:name="_Toc44596181"/>
      <w:bookmarkStart w:id="1042" w:name="_Toc44604576"/>
      <w:bookmarkStart w:id="1043" w:name="_Toc54169725"/>
      <w:bookmarkStart w:id="1044" w:name="_Toc56090014"/>
      <w:r>
        <w:t>5.</w:t>
      </w:r>
      <w:r w:rsidR="00E81E05">
        <w:t>4</w:t>
      </w:r>
      <w:r w:rsidR="002B7DEA">
        <w:tab/>
      </w:r>
      <w:r w:rsidR="0045301E">
        <w:t>Toxicological</w:t>
      </w:r>
      <w:r>
        <w:t xml:space="preserve"> Assessment conclusions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C51E476" w14:textId="3867CB64" w:rsidR="00194BD6" w:rsidRDefault="00E81E05" w:rsidP="00194BD6">
      <w:pPr>
        <w:rPr>
          <w:lang w:bidi="ar-SA"/>
        </w:rPr>
      </w:pPr>
      <w:r>
        <w:rPr>
          <w:lang w:bidi="ar-SA"/>
        </w:rPr>
        <w:t xml:space="preserve">Of the plant metabolites in rapeseed protein isolate that are considered to be </w:t>
      </w:r>
      <w:r w:rsidR="00194BD6">
        <w:rPr>
          <w:lang w:bidi="ar-SA"/>
        </w:rPr>
        <w:t xml:space="preserve">have </w:t>
      </w:r>
      <w:r>
        <w:rPr>
          <w:lang w:bidi="ar-SA"/>
        </w:rPr>
        <w:t>anti</w:t>
      </w:r>
      <w:r w:rsidR="00F5140C">
        <w:rPr>
          <w:lang w:bidi="ar-SA"/>
        </w:rPr>
        <w:t>-</w:t>
      </w:r>
      <w:r>
        <w:rPr>
          <w:lang w:bidi="ar-SA"/>
        </w:rPr>
        <w:t>nutritional</w:t>
      </w:r>
      <w:r w:rsidR="00194BD6">
        <w:rPr>
          <w:lang w:bidi="ar-SA"/>
        </w:rPr>
        <w:t xml:space="preserve"> potential, two are considered to have toxic effects</w:t>
      </w:r>
      <w:r>
        <w:rPr>
          <w:lang w:bidi="ar-SA"/>
        </w:rPr>
        <w:t>, erucic acid and glucosinolates</w:t>
      </w:r>
      <w:r w:rsidR="00194BD6">
        <w:rPr>
          <w:lang w:bidi="ar-SA"/>
        </w:rPr>
        <w:t>.</w:t>
      </w:r>
    </w:p>
    <w:p w14:paraId="5113617B" w14:textId="77777777" w:rsidR="00194BD6" w:rsidRDefault="00194BD6" w:rsidP="00194BD6">
      <w:pPr>
        <w:rPr>
          <w:lang w:bidi="ar-SA"/>
        </w:rPr>
      </w:pPr>
    </w:p>
    <w:p w14:paraId="4BCFE52D" w14:textId="23A1A8DD" w:rsidR="00194BD6" w:rsidRDefault="00194BD6" w:rsidP="00194BD6">
      <w:pPr>
        <w:rPr>
          <w:lang w:bidi="ar-SA"/>
        </w:rPr>
      </w:pPr>
      <w:r>
        <w:rPr>
          <w:lang w:bidi="ar-SA"/>
        </w:rPr>
        <w:t xml:space="preserve">Erucic acid is not considered to represent a </w:t>
      </w:r>
      <w:r w:rsidR="0060118E">
        <w:rPr>
          <w:lang w:bidi="ar-SA"/>
        </w:rPr>
        <w:t xml:space="preserve">risk </w:t>
      </w:r>
      <w:r>
        <w:rPr>
          <w:lang w:bidi="ar-SA"/>
        </w:rPr>
        <w:t xml:space="preserve">because </w:t>
      </w:r>
      <w:r w:rsidR="003C7E48">
        <w:rPr>
          <w:lang w:bidi="ar-SA"/>
        </w:rPr>
        <w:t xml:space="preserve">the </w:t>
      </w:r>
      <w:r>
        <w:rPr>
          <w:lang w:bidi="ar-SA"/>
        </w:rPr>
        <w:t>d</w:t>
      </w:r>
      <w:r w:rsidR="00E81E05">
        <w:rPr>
          <w:lang w:bidi="ar-SA"/>
        </w:rPr>
        <w:t xml:space="preserve">ietary exposure assessment shows that the addition of rapeseed protein isolate to the diet </w:t>
      </w:r>
      <w:r w:rsidR="00BA50FE">
        <w:rPr>
          <w:lang w:bidi="ar-SA"/>
        </w:rPr>
        <w:t xml:space="preserve">at both proposed maximum and typical use levels </w:t>
      </w:r>
      <w:r w:rsidR="00E81E05">
        <w:rPr>
          <w:lang w:bidi="ar-SA"/>
        </w:rPr>
        <w:t xml:space="preserve">does not result in an exceedance of the </w:t>
      </w:r>
      <w:r w:rsidR="00BD42A3">
        <w:rPr>
          <w:lang w:bidi="ar-SA"/>
        </w:rPr>
        <w:t>P</w:t>
      </w:r>
      <w:r w:rsidR="00E81E05">
        <w:rPr>
          <w:lang w:bidi="ar-SA"/>
        </w:rPr>
        <w:t>TDI of 7.5 mg/kg bw/day for erucic acid established by FSANZ in 2003.</w:t>
      </w:r>
      <w:r>
        <w:rPr>
          <w:lang w:bidi="ar-SA"/>
        </w:rPr>
        <w:t xml:space="preserve"> No new information was located to suggest that the TDI established in 2</w:t>
      </w:r>
      <w:r w:rsidR="000A380C">
        <w:rPr>
          <w:lang w:bidi="ar-SA"/>
        </w:rPr>
        <w:t>003 should be revised downward.</w:t>
      </w:r>
    </w:p>
    <w:p w14:paraId="70678F73" w14:textId="77777777" w:rsidR="00194BD6" w:rsidRDefault="00194BD6" w:rsidP="00194BD6">
      <w:pPr>
        <w:rPr>
          <w:lang w:bidi="ar-SA"/>
        </w:rPr>
      </w:pPr>
    </w:p>
    <w:p w14:paraId="59641032" w14:textId="5A07FCFC" w:rsidR="00E81E05" w:rsidRDefault="00E81E05" w:rsidP="00194BD6">
      <w:pPr>
        <w:rPr>
          <w:lang w:bidi="ar-SA"/>
        </w:rPr>
      </w:pPr>
      <w:r>
        <w:rPr>
          <w:lang w:bidi="ar-SA"/>
        </w:rPr>
        <w:t>There is no health-based guidance value (HBGV) for glucosinolates, but</w:t>
      </w:r>
      <w:r w:rsidR="00ED055B">
        <w:rPr>
          <w:lang w:bidi="ar-SA"/>
        </w:rPr>
        <w:t xml:space="preserve"> the</w:t>
      </w:r>
      <w:r>
        <w:rPr>
          <w:lang w:bidi="ar-SA"/>
        </w:rPr>
        <w:t xml:space="preserve"> dietary exposure assessment has shown that the addition of rapeseed protein isolate to the diet is comparable to </w:t>
      </w:r>
      <w:r w:rsidR="002B4089">
        <w:rPr>
          <w:lang w:bidi="ar-SA"/>
        </w:rPr>
        <w:t xml:space="preserve">the </w:t>
      </w:r>
      <w:r>
        <w:rPr>
          <w:lang w:bidi="ar-SA"/>
        </w:rPr>
        <w:t xml:space="preserve">addition of amounts of </w:t>
      </w:r>
      <w:r w:rsidR="00DA0240" w:rsidRPr="00DA0240">
        <w:rPr>
          <w:i/>
          <w:lang w:bidi="ar-SA"/>
        </w:rPr>
        <w:t>Brassica</w:t>
      </w:r>
      <w:r w:rsidR="00DA0240">
        <w:rPr>
          <w:lang w:bidi="ar-SA"/>
        </w:rPr>
        <w:t xml:space="preserve"> </w:t>
      </w:r>
      <w:r>
        <w:rPr>
          <w:lang w:bidi="ar-SA"/>
        </w:rPr>
        <w:t xml:space="preserve">vegetables </w:t>
      </w:r>
      <w:r w:rsidR="00194BD6">
        <w:rPr>
          <w:lang w:bidi="ar-SA"/>
        </w:rPr>
        <w:t xml:space="preserve">that are </w:t>
      </w:r>
      <w:r>
        <w:rPr>
          <w:lang w:bidi="ar-SA"/>
        </w:rPr>
        <w:t>within normal daily consumption. Glucosinolates in rapeseed protein isolate are therefore not co</w:t>
      </w:r>
      <w:r w:rsidR="000A380C">
        <w:rPr>
          <w:lang w:bidi="ar-SA"/>
        </w:rPr>
        <w:t xml:space="preserve">nsidered to represent a </w:t>
      </w:r>
      <w:r w:rsidR="00CF2469">
        <w:rPr>
          <w:lang w:bidi="ar-SA"/>
        </w:rPr>
        <w:t>health concern</w:t>
      </w:r>
      <w:r w:rsidR="000A380C">
        <w:rPr>
          <w:lang w:bidi="ar-SA"/>
        </w:rPr>
        <w:t>.</w:t>
      </w:r>
    </w:p>
    <w:p w14:paraId="0FC9B83A" w14:textId="414A0CA2" w:rsidR="00E81E05" w:rsidRDefault="00E81E05" w:rsidP="00194BD6">
      <w:pPr>
        <w:rPr>
          <w:lang w:bidi="ar-SA"/>
        </w:rPr>
      </w:pPr>
    </w:p>
    <w:p w14:paraId="4D80864B" w14:textId="77C727EF" w:rsidR="00DC35A2" w:rsidRDefault="00E81E05" w:rsidP="00194BD6">
      <w:pPr>
        <w:rPr>
          <w:lang w:bidi="ar-SA"/>
        </w:rPr>
      </w:pPr>
      <w:r>
        <w:rPr>
          <w:lang w:bidi="ar-SA"/>
        </w:rPr>
        <w:t>Rapeseed protein</w:t>
      </w:r>
      <w:r w:rsidR="00AF7242">
        <w:rPr>
          <w:lang w:bidi="ar-SA"/>
        </w:rPr>
        <w:t xml:space="preserve"> isolate contains mustard proteins, and proteins that may </w:t>
      </w:r>
      <w:r>
        <w:rPr>
          <w:lang w:bidi="ar-SA"/>
        </w:rPr>
        <w:t xml:space="preserve">cross-react with </w:t>
      </w:r>
      <w:r w:rsidR="00AF7242">
        <w:rPr>
          <w:lang w:bidi="ar-SA"/>
        </w:rPr>
        <w:t xml:space="preserve">related </w:t>
      </w:r>
      <w:r>
        <w:rPr>
          <w:lang w:bidi="ar-SA"/>
        </w:rPr>
        <w:t>mustard</w:t>
      </w:r>
      <w:r w:rsidR="00AF7242">
        <w:rPr>
          <w:lang w:bidi="ar-SA"/>
        </w:rPr>
        <w:t xml:space="preserve"> species. Rapeseed protein isolate may induce an allergic response i</w:t>
      </w:r>
      <w:r w:rsidR="00CF2469">
        <w:rPr>
          <w:lang w:bidi="ar-SA"/>
        </w:rPr>
        <w:t>n mustard-allergic individuals.</w:t>
      </w:r>
    </w:p>
    <w:p w14:paraId="6B87F0C5" w14:textId="77777777" w:rsidR="00CF2469" w:rsidRDefault="00CF2469" w:rsidP="00194BD6">
      <w:pPr>
        <w:rPr>
          <w:lang w:bidi="ar-SA"/>
        </w:rPr>
      </w:pPr>
    </w:p>
    <w:p w14:paraId="1B6EE3BE" w14:textId="6ABF8851" w:rsidR="00E81E05" w:rsidRDefault="00DC35A2" w:rsidP="00194BD6">
      <w:pPr>
        <w:rPr>
          <w:lang w:bidi="ar-SA"/>
        </w:rPr>
      </w:pPr>
      <w:r>
        <w:t xml:space="preserve">Increased dietary exposures to certain </w:t>
      </w:r>
      <w:r w:rsidR="00B73681">
        <w:t xml:space="preserve">metal </w:t>
      </w:r>
      <w:r>
        <w:t>contaminants (</w:t>
      </w:r>
      <w:r>
        <w:rPr>
          <w:lang w:bidi="ar-SA"/>
        </w:rPr>
        <w:t>arsenic, lead, cadmium, zinc, copper and chromium</w:t>
      </w:r>
      <w:r>
        <w:t xml:space="preserve">) from the addition of rapeseed protein isolate to the diet are estimated to be </w:t>
      </w:r>
      <w:r w:rsidR="00677BC6">
        <w:t xml:space="preserve">low </w:t>
      </w:r>
      <w:r>
        <w:t>based on typical use levels and the small market update estimated by the applicant, and are not of toxicological concern</w:t>
      </w:r>
      <w:r>
        <w:rPr>
          <w:lang w:bidi="ar-SA"/>
        </w:rPr>
        <w:t>.</w:t>
      </w:r>
    </w:p>
    <w:p w14:paraId="3C817780" w14:textId="043A87D1" w:rsidR="00A36783" w:rsidRDefault="00A36783" w:rsidP="002B7DEA">
      <w:pPr>
        <w:pStyle w:val="Heading1"/>
        <w:numPr>
          <w:ilvl w:val="0"/>
          <w:numId w:val="4"/>
        </w:numPr>
        <w:ind w:left="851" w:hanging="851"/>
      </w:pPr>
      <w:bookmarkStart w:id="1045" w:name="_Toc38549500"/>
      <w:bookmarkStart w:id="1046" w:name="_Toc38634162"/>
      <w:bookmarkStart w:id="1047" w:name="_Toc39571041"/>
      <w:bookmarkStart w:id="1048" w:name="_Toc39579297"/>
      <w:bookmarkStart w:id="1049" w:name="_Toc39579360"/>
      <w:bookmarkStart w:id="1050" w:name="_Toc39587118"/>
      <w:bookmarkStart w:id="1051" w:name="_Toc39582510"/>
      <w:bookmarkStart w:id="1052" w:name="_Toc40264929"/>
      <w:bookmarkStart w:id="1053" w:name="_Toc40266405"/>
      <w:bookmarkStart w:id="1054" w:name="_Toc40279738"/>
      <w:bookmarkStart w:id="1055" w:name="_Toc40282040"/>
      <w:bookmarkStart w:id="1056" w:name="_Toc40282202"/>
      <w:bookmarkStart w:id="1057" w:name="_Toc40360532"/>
      <w:bookmarkStart w:id="1058" w:name="_Toc40353575"/>
      <w:bookmarkStart w:id="1059" w:name="_Toc40366922"/>
      <w:bookmarkStart w:id="1060" w:name="_Toc40368254"/>
      <w:bookmarkStart w:id="1061" w:name="_Toc40382860"/>
      <w:bookmarkStart w:id="1062" w:name="_Toc40431059"/>
      <w:bookmarkStart w:id="1063" w:name="_Toc40432997"/>
      <w:bookmarkStart w:id="1064" w:name="_Toc40447682"/>
      <w:bookmarkStart w:id="1065" w:name="_Toc40441211"/>
      <w:bookmarkStart w:id="1066" w:name="_Toc40448547"/>
      <w:bookmarkStart w:id="1067" w:name="_Toc40449975"/>
      <w:bookmarkStart w:id="1068" w:name="_Toc40968319"/>
      <w:bookmarkStart w:id="1069" w:name="_Toc41051041"/>
      <w:bookmarkStart w:id="1070" w:name="_Toc41046041"/>
      <w:bookmarkStart w:id="1071" w:name="_Toc41053499"/>
      <w:bookmarkStart w:id="1072" w:name="_Toc44592670"/>
      <w:bookmarkStart w:id="1073" w:name="_Toc44596183"/>
      <w:bookmarkStart w:id="1074" w:name="_Toc44604578"/>
      <w:bookmarkStart w:id="1075" w:name="_Toc54169726"/>
      <w:bookmarkStart w:id="1076" w:name="_Toc56090015"/>
      <w:r>
        <w:t>Dietary exposure assessment</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1966494E" w14:textId="50AB0016" w:rsidR="00A36783" w:rsidRDefault="00A01356" w:rsidP="00E41BD5">
      <w:pPr>
        <w:pStyle w:val="Heading2"/>
      </w:pPr>
      <w:bookmarkStart w:id="1077" w:name="_Toc38549501"/>
      <w:bookmarkStart w:id="1078" w:name="_Toc38634163"/>
      <w:bookmarkStart w:id="1079" w:name="_Toc39571042"/>
      <w:bookmarkStart w:id="1080" w:name="_Toc39579298"/>
      <w:bookmarkStart w:id="1081" w:name="_Toc39579361"/>
      <w:bookmarkStart w:id="1082" w:name="_Toc39587119"/>
      <w:bookmarkStart w:id="1083" w:name="_Toc39582511"/>
      <w:bookmarkStart w:id="1084" w:name="_Toc40264930"/>
      <w:bookmarkStart w:id="1085" w:name="_Toc40266406"/>
      <w:bookmarkStart w:id="1086" w:name="_Toc40279739"/>
      <w:bookmarkStart w:id="1087" w:name="_Toc40282041"/>
      <w:bookmarkStart w:id="1088" w:name="_Toc40282203"/>
      <w:bookmarkStart w:id="1089" w:name="_Toc40360533"/>
      <w:bookmarkStart w:id="1090" w:name="_Toc40353576"/>
      <w:bookmarkStart w:id="1091" w:name="_Toc40366923"/>
      <w:bookmarkStart w:id="1092" w:name="_Toc40368255"/>
      <w:bookmarkStart w:id="1093" w:name="_Toc40382861"/>
      <w:bookmarkStart w:id="1094" w:name="_Toc40431060"/>
      <w:bookmarkStart w:id="1095" w:name="_Toc40432998"/>
      <w:bookmarkStart w:id="1096" w:name="_Toc40447683"/>
      <w:bookmarkStart w:id="1097" w:name="_Toc40441212"/>
      <w:bookmarkStart w:id="1098" w:name="_Toc40448548"/>
      <w:bookmarkStart w:id="1099" w:name="_Toc40449976"/>
      <w:bookmarkStart w:id="1100" w:name="_Toc40968320"/>
      <w:bookmarkStart w:id="1101" w:name="_Toc41051042"/>
      <w:bookmarkStart w:id="1102" w:name="_Toc41046042"/>
      <w:bookmarkStart w:id="1103" w:name="_Toc41053500"/>
      <w:bookmarkStart w:id="1104" w:name="_Toc44592671"/>
      <w:bookmarkStart w:id="1105" w:name="_Toc44596184"/>
      <w:bookmarkStart w:id="1106" w:name="_Toc44604579"/>
      <w:bookmarkStart w:id="1107" w:name="_Toc54169727"/>
      <w:bookmarkStart w:id="1108" w:name="_Toc56090016"/>
      <w:r>
        <w:t>6</w:t>
      </w:r>
      <w:r w:rsidR="00A36783">
        <w:t>.1</w:t>
      </w:r>
      <w:r w:rsidR="002B7DEA">
        <w:tab/>
      </w:r>
      <w:r w:rsidR="00A36783">
        <w:t>Objectives for the dietary exposure assessment</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0E17ECD2" w14:textId="68F82DE8" w:rsidR="00D46FB3" w:rsidRDefault="00722814" w:rsidP="00722814">
      <w:pPr>
        <w:tabs>
          <w:tab w:val="left" w:pos="840"/>
          <w:tab w:val="left" w:pos="1700"/>
          <w:tab w:val="left" w:pos="2520"/>
          <w:tab w:val="left" w:pos="3420"/>
          <w:tab w:val="left" w:pos="4240"/>
          <w:tab w:val="left" w:pos="5120"/>
          <w:tab w:val="left" w:pos="6000"/>
        </w:tabs>
      </w:pPr>
      <w:r>
        <w:t xml:space="preserve">The objective for the dietary exposure assessment was to estimate population dietary exposure to rapeseed protein isolate as a novel food </w:t>
      </w:r>
      <w:r w:rsidR="00CD7B7D">
        <w:t xml:space="preserve">and </w:t>
      </w:r>
      <w:r>
        <w:t>protein source in a ran</w:t>
      </w:r>
      <w:r w:rsidR="00D46FB3">
        <w:t xml:space="preserve">ge of foods </w:t>
      </w:r>
      <w:r w:rsidR="004F117B">
        <w:t>as a replacement for</w:t>
      </w:r>
      <w:r w:rsidR="00D46FB3">
        <w:t xml:space="preserve"> </w:t>
      </w:r>
      <w:r w:rsidR="00951EAB">
        <w:t xml:space="preserve">other </w:t>
      </w:r>
      <w:r>
        <w:t>animal, soy, or pea proteins in order to assess the public health impact should the requested permissions be granted.</w:t>
      </w:r>
    </w:p>
    <w:p w14:paraId="79F9D513" w14:textId="77777777" w:rsidR="00D46FB3" w:rsidRDefault="00D46FB3" w:rsidP="00722814">
      <w:pPr>
        <w:tabs>
          <w:tab w:val="left" w:pos="840"/>
          <w:tab w:val="left" w:pos="1700"/>
          <w:tab w:val="left" w:pos="2520"/>
          <w:tab w:val="left" w:pos="3420"/>
          <w:tab w:val="left" w:pos="4240"/>
          <w:tab w:val="left" w:pos="5120"/>
          <w:tab w:val="left" w:pos="6000"/>
        </w:tabs>
      </w:pPr>
    </w:p>
    <w:p w14:paraId="1DE4BA80" w14:textId="3766B0A4" w:rsidR="00722814" w:rsidRPr="00722814" w:rsidRDefault="00D46FB3" w:rsidP="002B7DEA">
      <w:pPr>
        <w:tabs>
          <w:tab w:val="left" w:pos="840"/>
          <w:tab w:val="left" w:pos="1700"/>
          <w:tab w:val="left" w:pos="2520"/>
          <w:tab w:val="left" w:pos="3420"/>
          <w:tab w:val="left" w:pos="4240"/>
          <w:tab w:val="left" w:pos="5120"/>
          <w:tab w:val="left" w:pos="6000"/>
        </w:tabs>
        <w:rPr>
          <w:lang w:bidi="ar-SA"/>
        </w:rPr>
      </w:pPr>
      <w:r>
        <w:t xml:space="preserve">In addition, the assessment also aimed to estimate the dietary exposure to erucic acid and glucosinolates from </w:t>
      </w:r>
      <w:r w:rsidR="00951EAB">
        <w:t>the consumption</w:t>
      </w:r>
      <w:r>
        <w:t xml:space="preserve"> of rapeseed protein isolate and put that in the context of naturally occurring intake from the diet, specifically from </w:t>
      </w:r>
      <w:r w:rsidR="00DA0240" w:rsidRPr="00DA0240">
        <w:rPr>
          <w:i/>
          <w:lang w:bidi="ar-SA"/>
        </w:rPr>
        <w:t>Brassica</w:t>
      </w:r>
      <w:r w:rsidR="00DA0240">
        <w:t xml:space="preserve"> </w:t>
      </w:r>
      <w:r>
        <w:t>vegetables as a source of these substances.</w:t>
      </w:r>
      <w:r w:rsidR="00700B53">
        <w:t xml:space="preserve"> The dietary exposure assessment also fed into other parts of the hazard assessment, such as that for the metal contaminant lead.</w:t>
      </w:r>
    </w:p>
    <w:p w14:paraId="5A09D11C" w14:textId="29CC7A64" w:rsidR="00A36783" w:rsidRDefault="00A01356" w:rsidP="00B61ED8">
      <w:pPr>
        <w:pStyle w:val="Heading2"/>
        <w:keepLines/>
      </w:pPr>
      <w:bookmarkStart w:id="1109" w:name="_Toc38549502"/>
      <w:bookmarkStart w:id="1110" w:name="_Toc38634164"/>
      <w:bookmarkStart w:id="1111" w:name="_Toc39571043"/>
      <w:bookmarkStart w:id="1112" w:name="_Toc39579299"/>
      <w:bookmarkStart w:id="1113" w:name="_Toc39579362"/>
      <w:bookmarkStart w:id="1114" w:name="_Toc39587120"/>
      <w:bookmarkStart w:id="1115" w:name="_Toc39582512"/>
      <w:bookmarkStart w:id="1116" w:name="_Toc40264931"/>
      <w:bookmarkStart w:id="1117" w:name="_Toc40266407"/>
      <w:bookmarkStart w:id="1118" w:name="_Toc40279740"/>
      <w:bookmarkStart w:id="1119" w:name="_Toc40282042"/>
      <w:bookmarkStart w:id="1120" w:name="_Toc40282204"/>
      <w:bookmarkStart w:id="1121" w:name="_Toc40360534"/>
      <w:bookmarkStart w:id="1122" w:name="_Toc40353577"/>
      <w:bookmarkStart w:id="1123" w:name="_Toc40366924"/>
      <w:bookmarkStart w:id="1124" w:name="_Toc40368256"/>
      <w:bookmarkStart w:id="1125" w:name="_Toc40382862"/>
      <w:bookmarkStart w:id="1126" w:name="_Toc40431061"/>
      <w:bookmarkStart w:id="1127" w:name="_Toc40432999"/>
      <w:bookmarkStart w:id="1128" w:name="_Toc40447684"/>
      <w:bookmarkStart w:id="1129" w:name="_Toc40441213"/>
      <w:bookmarkStart w:id="1130" w:name="_Toc40448549"/>
      <w:bookmarkStart w:id="1131" w:name="_Toc40449977"/>
      <w:bookmarkStart w:id="1132" w:name="_Toc40968321"/>
      <w:bookmarkStart w:id="1133" w:name="_Toc41051043"/>
      <w:bookmarkStart w:id="1134" w:name="_Toc41046043"/>
      <w:bookmarkStart w:id="1135" w:name="_Toc41053501"/>
      <w:bookmarkStart w:id="1136" w:name="_Toc44592672"/>
      <w:bookmarkStart w:id="1137" w:name="_Toc44596185"/>
      <w:bookmarkStart w:id="1138" w:name="_Toc44604580"/>
      <w:bookmarkStart w:id="1139" w:name="_Toc54169728"/>
      <w:bookmarkStart w:id="1140" w:name="_Toc56090017"/>
      <w:r>
        <w:t>6</w:t>
      </w:r>
      <w:r w:rsidR="00A36783">
        <w:t>.2</w:t>
      </w:r>
      <w:r w:rsidR="002B7DEA">
        <w:tab/>
      </w:r>
      <w:r w:rsidR="00A36783">
        <w:t>Methodology and approach for</w:t>
      </w:r>
      <w:r w:rsidR="006E141E">
        <w:t xml:space="preserve"> the</w:t>
      </w:r>
      <w:r w:rsidR="00A36783">
        <w:t xml:space="preserve"> dietary exposure assessment</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p w14:paraId="216B4704" w14:textId="30B469A3" w:rsidR="00722814" w:rsidRDefault="00A01356" w:rsidP="00B61ED8">
      <w:pPr>
        <w:pStyle w:val="Heading3"/>
        <w:keepLines/>
      </w:pPr>
      <w:bookmarkStart w:id="1141" w:name="_Toc39571044"/>
      <w:bookmarkStart w:id="1142" w:name="_Toc38549503"/>
      <w:bookmarkStart w:id="1143" w:name="_Toc38634165"/>
      <w:bookmarkStart w:id="1144" w:name="_Toc39579300"/>
      <w:bookmarkStart w:id="1145" w:name="_Toc39579363"/>
      <w:bookmarkStart w:id="1146" w:name="_Toc39587121"/>
      <w:bookmarkStart w:id="1147" w:name="_Toc39582513"/>
      <w:bookmarkStart w:id="1148" w:name="_Toc40264932"/>
      <w:bookmarkStart w:id="1149" w:name="_Toc40266408"/>
      <w:bookmarkStart w:id="1150" w:name="_Toc40279741"/>
      <w:bookmarkStart w:id="1151" w:name="_Toc40282043"/>
      <w:bookmarkStart w:id="1152" w:name="_Toc40282205"/>
      <w:bookmarkStart w:id="1153" w:name="_Toc40360535"/>
      <w:bookmarkStart w:id="1154" w:name="_Toc40353578"/>
      <w:bookmarkStart w:id="1155" w:name="_Toc40366925"/>
      <w:bookmarkStart w:id="1156" w:name="_Toc40368257"/>
      <w:bookmarkStart w:id="1157" w:name="_Toc40382863"/>
      <w:bookmarkStart w:id="1158" w:name="_Toc40431062"/>
      <w:bookmarkStart w:id="1159" w:name="_Toc40433000"/>
      <w:bookmarkStart w:id="1160" w:name="_Toc40447685"/>
      <w:bookmarkStart w:id="1161" w:name="_Toc40441214"/>
      <w:bookmarkStart w:id="1162" w:name="_Toc40448550"/>
      <w:bookmarkStart w:id="1163" w:name="_Toc40449978"/>
      <w:bookmarkStart w:id="1164" w:name="_Toc40968322"/>
      <w:bookmarkStart w:id="1165" w:name="_Toc41051044"/>
      <w:bookmarkStart w:id="1166" w:name="_Toc41046044"/>
      <w:bookmarkStart w:id="1167" w:name="_Toc41053502"/>
      <w:bookmarkStart w:id="1168" w:name="_Toc44592673"/>
      <w:bookmarkStart w:id="1169" w:name="_Toc44596186"/>
      <w:bookmarkStart w:id="1170" w:name="_Toc44604581"/>
      <w:bookmarkStart w:id="1171" w:name="_Toc54169729"/>
      <w:bookmarkStart w:id="1172" w:name="_Toc56090018"/>
      <w:r>
        <w:t>6.2.1</w:t>
      </w:r>
      <w:r w:rsidR="002B7DEA">
        <w:tab/>
      </w:r>
      <w:r w:rsidR="00441143">
        <w:t>A</w:t>
      </w:r>
      <w:r w:rsidR="00722814">
        <w:t>pproach</w:t>
      </w:r>
      <w:bookmarkEnd w:id="1141"/>
      <w:r w:rsidR="00441143">
        <w:t xml:space="preserve"> for </w:t>
      </w:r>
      <w:r w:rsidR="00FF1922">
        <w:t>the</w:t>
      </w:r>
      <w:r w:rsidR="00441143">
        <w:t xml:space="preserve"> dietary exposure assessment</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57A61567" w14:textId="66EE3BAE" w:rsidR="00826138" w:rsidRDefault="00826138" w:rsidP="00B61ED8">
      <w:pPr>
        <w:keepNext/>
        <w:keepLines/>
        <w:rPr>
          <w:lang w:bidi="ar-SA"/>
        </w:rPr>
      </w:pPr>
      <w:r w:rsidRPr="00047F90">
        <w:rPr>
          <w:lang w:bidi="ar-SA"/>
        </w:rPr>
        <w:t>Dietary exposure assessment</w:t>
      </w:r>
      <w:r w:rsidR="00D46FB3">
        <w:rPr>
          <w:lang w:bidi="ar-SA"/>
        </w:rPr>
        <w:t>s</w:t>
      </w:r>
      <w:r w:rsidRPr="00047F90">
        <w:rPr>
          <w:lang w:bidi="ar-SA"/>
        </w:rPr>
        <w:t xml:space="preserve"> require concentration data for the chemical of interest in food</w:t>
      </w:r>
      <w:r w:rsidR="00D46FB3">
        <w:rPr>
          <w:lang w:bidi="ar-SA"/>
        </w:rPr>
        <w:t xml:space="preserve"> </w:t>
      </w:r>
      <w:r w:rsidRPr="00047F90">
        <w:rPr>
          <w:lang w:bidi="ar-SA"/>
        </w:rPr>
        <w:t>and consumption data for the foods collected through national nutrition surveys.</w:t>
      </w:r>
    </w:p>
    <w:p w14:paraId="7F9A9196" w14:textId="77777777" w:rsidR="00D46FB3" w:rsidRPr="00047F90" w:rsidRDefault="00D46FB3" w:rsidP="00826138">
      <w:pPr>
        <w:rPr>
          <w:lang w:bidi="ar-SA"/>
        </w:rPr>
      </w:pPr>
    </w:p>
    <w:p w14:paraId="199001F0" w14:textId="11271DB3" w:rsidR="00826138" w:rsidRPr="00047F90" w:rsidRDefault="00826138" w:rsidP="00826138">
      <w:pPr>
        <w:rPr>
          <w:lang w:bidi="ar-SA"/>
        </w:rPr>
      </w:pPr>
      <w:r w:rsidRPr="00047F90">
        <w:rPr>
          <w:lang w:bidi="ar-SA"/>
        </w:rPr>
        <w:t xml:space="preserve">The dietary exposures to rapeseed protein isolate were estimated based on the maximum proposed </w:t>
      </w:r>
      <w:r w:rsidR="006750C6">
        <w:rPr>
          <w:lang w:bidi="ar-SA"/>
        </w:rPr>
        <w:t xml:space="preserve">use levels </w:t>
      </w:r>
      <w:r w:rsidR="0042380A">
        <w:rPr>
          <w:lang w:bidi="ar-SA"/>
        </w:rPr>
        <w:t>(</w:t>
      </w:r>
      <w:r w:rsidR="006750C6">
        <w:rPr>
          <w:lang w:bidi="ar-SA"/>
        </w:rPr>
        <w:t xml:space="preserve">or </w:t>
      </w:r>
      <w:r w:rsidRPr="00047F90">
        <w:rPr>
          <w:lang w:bidi="ar-SA"/>
        </w:rPr>
        <w:t>concentrations</w:t>
      </w:r>
      <w:r w:rsidR="0042380A">
        <w:rPr>
          <w:lang w:bidi="ar-SA"/>
        </w:rPr>
        <w:t>)</w:t>
      </w:r>
      <w:r w:rsidR="00BC462A">
        <w:rPr>
          <w:lang w:bidi="ar-SA"/>
        </w:rPr>
        <w:t xml:space="preserve"> </w:t>
      </w:r>
      <w:r w:rsidR="006750C6">
        <w:rPr>
          <w:lang w:bidi="ar-SA"/>
        </w:rPr>
        <w:t xml:space="preserve">noted in the application </w:t>
      </w:r>
      <w:r w:rsidR="00BC462A">
        <w:rPr>
          <w:lang w:bidi="ar-SA"/>
        </w:rPr>
        <w:t xml:space="preserve">and typical use </w:t>
      </w:r>
      <w:r w:rsidR="006750C6">
        <w:rPr>
          <w:lang w:bidi="ar-SA"/>
        </w:rPr>
        <w:t xml:space="preserve">levels or </w:t>
      </w:r>
      <w:r w:rsidR="00BC462A">
        <w:rPr>
          <w:lang w:bidi="ar-SA"/>
        </w:rPr>
        <w:t>concentrations</w:t>
      </w:r>
      <w:r w:rsidRPr="00047F90">
        <w:rPr>
          <w:lang w:bidi="ar-SA"/>
        </w:rPr>
        <w:t xml:space="preserve"> in the requested food </w:t>
      </w:r>
      <w:r w:rsidR="006750C6">
        <w:rPr>
          <w:lang w:bidi="ar-SA"/>
        </w:rPr>
        <w:t>classes</w:t>
      </w:r>
      <w:r w:rsidRPr="00047F90">
        <w:rPr>
          <w:lang w:bidi="ar-SA"/>
        </w:rPr>
        <w:t xml:space="preserve"> as provided by the applicant.</w:t>
      </w:r>
      <w:r w:rsidR="006750C6">
        <w:rPr>
          <w:lang w:bidi="ar-SA"/>
        </w:rPr>
        <w:t xml:space="preserve"> The applicant provided typical use levels in order for FSANZ to undertake a more refined risk assessment. Results based on typical use levels better reflect longer term or chronic risk, and therefore these were used by FSANZ for risk characterisation purposes and form the basis of the discussion in this supporting document. The estimated dietary exposures are also provided in Appendix 1 for completeness.</w:t>
      </w:r>
    </w:p>
    <w:p w14:paraId="44A70EC8" w14:textId="77777777" w:rsidR="00826138" w:rsidRPr="00047F90" w:rsidRDefault="00826138" w:rsidP="00826138">
      <w:pPr>
        <w:rPr>
          <w:lang w:bidi="ar-SA"/>
        </w:rPr>
      </w:pPr>
    </w:p>
    <w:p w14:paraId="57EEEA24" w14:textId="3334EF44" w:rsidR="00826138" w:rsidRPr="00FE5121" w:rsidRDefault="00826138" w:rsidP="00826138">
      <w:pPr>
        <w:rPr>
          <w:lang w:bidi="ar-SA"/>
        </w:rPr>
      </w:pPr>
      <w:r w:rsidRPr="00047F90">
        <w:rPr>
          <w:lang w:bidi="ar-SA"/>
        </w:rPr>
        <w:t xml:space="preserve">The dietary exposure assessments were </w:t>
      </w:r>
      <w:r w:rsidR="00D46FB3">
        <w:rPr>
          <w:lang w:bidi="ar-SA"/>
        </w:rPr>
        <w:t xml:space="preserve">primarily </w:t>
      </w:r>
      <w:r w:rsidRPr="00047F90">
        <w:rPr>
          <w:lang w:bidi="ar-SA"/>
        </w:rPr>
        <w:t>undertaken using FSANZ’</w:t>
      </w:r>
      <w:r w:rsidR="00C70C88">
        <w:rPr>
          <w:lang w:bidi="ar-SA"/>
        </w:rPr>
        <w:t>s</w:t>
      </w:r>
      <w:r w:rsidRPr="00047F90">
        <w:rPr>
          <w:lang w:bidi="ar-SA"/>
        </w:rPr>
        <w:t xml:space="preserve"> dietary modelling computer program, Harvest. </w:t>
      </w:r>
      <w:r w:rsidR="00D46FB3">
        <w:rPr>
          <w:lang w:bidi="ar-SA"/>
        </w:rPr>
        <w:t>This was the case for the estimates for rapeseed protein isolate, using a semi-probabilistic approach</w:t>
      </w:r>
      <w:r w:rsidR="003C6A8E">
        <w:rPr>
          <w:lang w:bidi="ar-SA"/>
        </w:rPr>
        <w:t xml:space="preserve"> (individual dietary records and single concentrations for each food group)</w:t>
      </w:r>
      <w:r w:rsidR="00D46FB3">
        <w:rPr>
          <w:lang w:bidi="ar-SA"/>
        </w:rPr>
        <w:t>. Harvest wasn’t used for the dietary exposure assessment calculations for erucic acid and glucosinolates</w:t>
      </w:r>
      <w:r w:rsidR="000E7028">
        <w:rPr>
          <w:lang w:bidi="ar-SA"/>
        </w:rPr>
        <w:t>,</w:t>
      </w:r>
      <w:r w:rsidR="00D46FB3">
        <w:rPr>
          <w:lang w:bidi="ar-SA"/>
        </w:rPr>
        <w:t xml:space="preserve"> </w:t>
      </w:r>
      <w:r w:rsidR="000E7028">
        <w:rPr>
          <w:lang w:bidi="ar-SA"/>
        </w:rPr>
        <w:t>except</w:t>
      </w:r>
      <w:r w:rsidR="00D46FB3">
        <w:rPr>
          <w:lang w:bidi="ar-SA"/>
        </w:rPr>
        <w:t xml:space="preserve"> to extract relevant</w:t>
      </w:r>
      <w:r w:rsidR="003C6A8E">
        <w:rPr>
          <w:lang w:bidi="ar-SA"/>
        </w:rPr>
        <w:t xml:space="preserve"> summary</w:t>
      </w:r>
      <w:r w:rsidR="00D46FB3">
        <w:rPr>
          <w:lang w:bidi="ar-SA"/>
        </w:rPr>
        <w:t xml:space="preserve"> consumption data </w:t>
      </w:r>
      <w:r w:rsidR="000E7028">
        <w:rPr>
          <w:lang w:bidi="ar-SA"/>
        </w:rPr>
        <w:t xml:space="preserve">for </w:t>
      </w:r>
      <w:r w:rsidR="00DA0240" w:rsidRPr="00DA0240">
        <w:rPr>
          <w:i/>
          <w:lang w:bidi="ar-SA"/>
        </w:rPr>
        <w:t>Brassica</w:t>
      </w:r>
      <w:r w:rsidR="00DA0240">
        <w:rPr>
          <w:lang w:bidi="ar-SA"/>
        </w:rPr>
        <w:t xml:space="preserve"> </w:t>
      </w:r>
      <w:r w:rsidR="000E7028">
        <w:rPr>
          <w:lang w:bidi="ar-SA"/>
        </w:rPr>
        <w:t xml:space="preserve">vegetables </w:t>
      </w:r>
      <w:r w:rsidR="003C6A8E">
        <w:rPr>
          <w:lang w:bidi="ar-SA"/>
        </w:rPr>
        <w:t>(from the range of consumpt</w:t>
      </w:r>
      <w:r w:rsidR="000E7028">
        <w:rPr>
          <w:lang w:bidi="ar-SA"/>
        </w:rPr>
        <w:t>io</w:t>
      </w:r>
      <w:r w:rsidR="003C6A8E">
        <w:rPr>
          <w:lang w:bidi="ar-SA"/>
        </w:rPr>
        <w:t>n amounts for i</w:t>
      </w:r>
      <w:r w:rsidR="000E7028">
        <w:rPr>
          <w:lang w:bidi="ar-SA"/>
        </w:rPr>
        <w:t>n</w:t>
      </w:r>
      <w:r w:rsidR="003C6A8E">
        <w:rPr>
          <w:lang w:bidi="ar-SA"/>
        </w:rPr>
        <w:t>div</w:t>
      </w:r>
      <w:r w:rsidR="000E7028">
        <w:rPr>
          <w:lang w:bidi="ar-SA"/>
        </w:rPr>
        <w:t>i</w:t>
      </w:r>
      <w:r w:rsidR="003C6A8E">
        <w:rPr>
          <w:lang w:bidi="ar-SA"/>
        </w:rPr>
        <w:t>d</w:t>
      </w:r>
      <w:r w:rsidR="000E7028">
        <w:rPr>
          <w:lang w:bidi="ar-SA"/>
        </w:rPr>
        <w:t>u</w:t>
      </w:r>
      <w:r w:rsidR="003C6A8E">
        <w:rPr>
          <w:lang w:bidi="ar-SA"/>
        </w:rPr>
        <w:t>als)</w:t>
      </w:r>
      <w:r w:rsidR="000E7028">
        <w:rPr>
          <w:lang w:bidi="ar-SA"/>
        </w:rPr>
        <w:t xml:space="preserve">. These summary consumption data were used with single </w:t>
      </w:r>
      <w:r w:rsidR="00A512D0">
        <w:rPr>
          <w:lang w:bidi="ar-SA"/>
        </w:rPr>
        <w:t>concentration</w:t>
      </w:r>
      <w:r w:rsidR="000E7028">
        <w:rPr>
          <w:lang w:bidi="ar-SA"/>
        </w:rPr>
        <w:t xml:space="preserve"> data points for </w:t>
      </w:r>
      <w:r w:rsidR="00DA0240" w:rsidRPr="00DA0240">
        <w:rPr>
          <w:i/>
          <w:lang w:bidi="ar-SA"/>
        </w:rPr>
        <w:t>Brassica</w:t>
      </w:r>
      <w:r w:rsidR="00DA0240">
        <w:rPr>
          <w:i/>
          <w:lang w:bidi="ar-SA"/>
        </w:rPr>
        <w:t>s</w:t>
      </w:r>
      <w:r w:rsidR="00DA0240">
        <w:rPr>
          <w:lang w:bidi="ar-SA"/>
        </w:rPr>
        <w:t xml:space="preserve"> </w:t>
      </w:r>
      <w:r w:rsidR="000E7028">
        <w:rPr>
          <w:lang w:bidi="ar-SA"/>
        </w:rPr>
        <w:t xml:space="preserve">in </w:t>
      </w:r>
      <w:r w:rsidR="00D46FB3">
        <w:rPr>
          <w:lang w:bidi="ar-SA"/>
        </w:rPr>
        <w:t xml:space="preserve">a deterministic calculation. </w:t>
      </w:r>
      <w:r>
        <w:rPr>
          <w:lang w:bidi="ar-SA"/>
        </w:rPr>
        <w:t xml:space="preserve">As </w:t>
      </w:r>
      <w:r w:rsidR="00D46FB3">
        <w:rPr>
          <w:lang w:bidi="ar-SA"/>
        </w:rPr>
        <w:t>novel food</w:t>
      </w:r>
      <w:r>
        <w:rPr>
          <w:lang w:bidi="ar-SA"/>
        </w:rPr>
        <w:t xml:space="preserve"> permissions in the Code apply to both Australia and New Zealand, dietary exposure assessments were undertaken for both countries.</w:t>
      </w:r>
    </w:p>
    <w:p w14:paraId="03995EF8" w14:textId="77777777" w:rsidR="00826138" w:rsidRPr="00047F90" w:rsidRDefault="00826138" w:rsidP="00826138">
      <w:pPr>
        <w:rPr>
          <w:lang w:bidi="ar-SA"/>
        </w:rPr>
      </w:pPr>
    </w:p>
    <w:p w14:paraId="2DDCF52F" w14:textId="475B5A70" w:rsidR="00826138" w:rsidRDefault="00826138" w:rsidP="00826138">
      <w:pPr>
        <w:rPr>
          <w:lang w:bidi="ar-SA"/>
        </w:rPr>
      </w:pPr>
      <w:r w:rsidRPr="00826138">
        <w:rPr>
          <w:lang w:bidi="ar-SA"/>
        </w:rPr>
        <w:t xml:space="preserve">A summary of the general FSANZ approach to conducting the dietary exposure assessment for this Application is </w:t>
      </w:r>
      <w:r w:rsidRPr="00466444">
        <w:rPr>
          <w:lang w:bidi="ar-SA"/>
        </w:rPr>
        <w:t>at Appendix 1.</w:t>
      </w:r>
      <w:r w:rsidRPr="00826138">
        <w:rPr>
          <w:lang w:bidi="ar-SA"/>
        </w:rPr>
        <w:t xml:space="preserve"> </w:t>
      </w:r>
      <w:r w:rsidRPr="00047F90">
        <w:rPr>
          <w:lang w:bidi="ar-SA"/>
        </w:rPr>
        <w:t xml:space="preserve">A detailed discussion of the FSANZ methodology and approach to conducting dietary exposure assessments is set out in </w:t>
      </w:r>
      <w:r w:rsidRPr="00B23CA5">
        <w:rPr>
          <w:i/>
          <w:lang w:bidi="ar-SA"/>
        </w:rPr>
        <w:t>Principles and Practices of Dietary Exposure Assessment for Food Regulatory Purposes</w:t>
      </w:r>
      <w:r w:rsidRPr="00047F90">
        <w:rPr>
          <w:lang w:bidi="ar-SA"/>
        </w:rPr>
        <w:t xml:space="preserve"> (FSANZ 2009)</w:t>
      </w:r>
      <w:r w:rsidR="005B614B">
        <w:rPr>
          <w:lang w:bidi="ar-SA"/>
        </w:rPr>
        <w:t>.</w:t>
      </w:r>
    </w:p>
    <w:p w14:paraId="16A950C8" w14:textId="7833D05B" w:rsidR="005B614B" w:rsidRDefault="005B614B" w:rsidP="00826138">
      <w:pPr>
        <w:rPr>
          <w:lang w:bidi="ar-SA"/>
        </w:rPr>
      </w:pPr>
    </w:p>
    <w:p w14:paraId="76CD2B9D" w14:textId="4666B1BE" w:rsidR="000E7028" w:rsidRPr="00047F90" w:rsidRDefault="000E7028" w:rsidP="002B7DEA">
      <w:pPr>
        <w:autoSpaceDE w:val="0"/>
        <w:autoSpaceDN w:val="0"/>
        <w:adjustRightInd w:val="0"/>
        <w:rPr>
          <w:lang w:bidi="ar-SA"/>
        </w:rPr>
      </w:pPr>
      <w:r w:rsidRPr="003D36E7">
        <w:rPr>
          <w:rFonts w:cs="Arial"/>
          <w:color w:val="000000"/>
        </w:rPr>
        <w:t>Further details</w:t>
      </w:r>
      <w:r>
        <w:rPr>
          <w:rFonts w:cs="Arial"/>
          <w:color w:val="000000"/>
        </w:rPr>
        <w:t xml:space="preserve"> regarding</w:t>
      </w:r>
      <w:r w:rsidRPr="003D36E7">
        <w:rPr>
          <w:rFonts w:cs="Arial"/>
          <w:color w:val="000000"/>
        </w:rPr>
        <w:t xml:space="preserve"> the</w:t>
      </w:r>
      <w:r>
        <w:rPr>
          <w:rFonts w:cs="Arial"/>
          <w:color w:val="000000"/>
        </w:rPr>
        <w:t xml:space="preserve"> </w:t>
      </w:r>
      <w:r w:rsidRPr="003D36E7">
        <w:rPr>
          <w:rFonts w:cs="Arial"/>
          <w:color w:val="000000"/>
        </w:rPr>
        <w:t xml:space="preserve">assumptions and limitations of the dietary </w:t>
      </w:r>
      <w:r w:rsidR="00951EAB">
        <w:rPr>
          <w:rFonts w:cs="Arial"/>
          <w:color w:val="000000"/>
        </w:rPr>
        <w:t>exposure</w:t>
      </w:r>
      <w:r w:rsidRPr="003D36E7">
        <w:rPr>
          <w:rFonts w:cs="Arial"/>
          <w:color w:val="000000"/>
        </w:rPr>
        <w:t xml:space="preserve"> assessment </w:t>
      </w:r>
      <w:r>
        <w:rPr>
          <w:rFonts w:cs="Arial"/>
          <w:color w:val="000000"/>
        </w:rPr>
        <w:t>can be found in Appendix 1.</w:t>
      </w:r>
    </w:p>
    <w:p w14:paraId="793B100E" w14:textId="2A0892B4" w:rsidR="00722814" w:rsidRPr="00826138" w:rsidRDefault="00A01356" w:rsidP="00614DC8">
      <w:pPr>
        <w:pStyle w:val="Heading3"/>
      </w:pPr>
      <w:bookmarkStart w:id="1173" w:name="_Toc38549504"/>
      <w:bookmarkStart w:id="1174" w:name="_Toc38634166"/>
      <w:bookmarkStart w:id="1175" w:name="_Toc39571045"/>
      <w:bookmarkStart w:id="1176" w:name="_Toc39579301"/>
      <w:bookmarkStart w:id="1177" w:name="_Toc39579364"/>
      <w:bookmarkStart w:id="1178" w:name="_Toc39587122"/>
      <w:bookmarkStart w:id="1179" w:name="_Toc39582514"/>
      <w:bookmarkStart w:id="1180" w:name="_Toc40264933"/>
      <w:bookmarkStart w:id="1181" w:name="_Toc40266409"/>
      <w:bookmarkStart w:id="1182" w:name="_Toc40279742"/>
      <w:bookmarkStart w:id="1183" w:name="_Toc40282044"/>
      <w:bookmarkStart w:id="1184" w:name="_Toc40282206"/>
      <w:bookmarkStart w:id="1185" w:name="_Toc40360536"/>
      <w:bookmarkStart w:id="1186" w:name="_Toc40353579"/>
      <w:bookmarkStart w:id="1187" w:name="_Toc40366926"/>
      <w:bookmarkStart w:id="1188" w:name="_Toc40368258"/>
      <w:bookmarkStart w:id="1189" w:name="_Toc40382864"/>
      <w:bookmarkStart w:id="1190" w:name="_Toc40431063"/>
      <w:bookmarkStart w:id="1191" w:name="_Toc40433001"/>
      <w:bookmarkStart w:id="1192" w:name="_Toc40447686"/>
      <w:bookmarkStart w:id="1193" w:name="_Toc40441215"/>
      <w:bookmarkStart w:id="1194" w:name="_Toc40448551"/>
      <w:bookmarkStart w:id="1195" w:name="_Toc40449979"/>
      <w:bookmarkStart w:id="1196" w:name="_Toc40968323"/>
      <w:bookmarkStart w:id="1197" w:name="_Toc41051045"/>
      <w:bookmarkStart w:id="1198" w:name="_Toc41046045"/>
      <w:bookmarkStart w:id="1199" w:name="_Toc41053503"/>
      <w:bookmarkStart w:id="1200" w:name="_Toc44592674"/>
      <w:bookmarkStart w:id="1201" w:name="_Toc44596187"/>
      <w:bookmarkStart w:id="1202" w:name="_Toc44604582"/>
      <w:bookmarkStart w:id="1203" w:name="_Toc54169730"/>
      <w:bookmarkStart w:id="1204" w:name="_Toc56090019"/>
      <w:r>
        <w:t>6</w:t>
      </w:r>
      <w:r w:rsidR="00722814">
        <w:t>.2.2</w:t>
      </w:r>
      <w:r w:rsidR="002B7DEA">
        <w:tab/>
      </w:r>
      <w:r w:rsidR="00722814" w:rsidRPr="00BA3E8C">
        <w:t xml:space="preserve">Estimating dietary exposure to </w:t>
      </w:r>
      <w:r w:rsidR="00722814">
        <w:t>rapeseed protein isolate</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10295C13" w14:textId="0C620884" w:rsidR="00722814" w:rsidRDefault="00722814" w:rsidP="002B7DEA">
      <w:pPr>
        <w:autoSpaceDE w:val="0"/>
        <w:autoSpaceDN w:val="0"/>
        <w:adjustRightInd w:val="0"/>
      </w:pPr>
      <w:r w:rsidRPr="00BA3E8C">
        <w:rPr>
          <w:rFonts w:cs="Arial"/>
          <w:color w:val="000000"/>
        </w:rPr>
        <w:t>A Harvest food</w:t>
      </w:r>
      <w:r>
        <w:rPr>
          <w:rFonts w:cs="Arial"/>
          <w:color w:val="000000"/>
        </w:rPr>
        <w:t xml:space="preserve"> </w:t>
      </w:r>
      <w:r w:rsidRPr="00BA3E8C">
        <w:rPr>
          <w:rFonts w:cs="Arial"/>
          <w:color w:val="000000"/>
        </w:rPr>
        <w:t xml:space="preserve">additive model was </w:t>
      </w:r>
      <w:r w:rsidR="00D46FB3">
        <w:rPr>
          <w:rFonts w:cs="Arial"/>
          <w:color w:val="000000"/>
        </w:rPr>
        <w:t xml:space="preserve">the </w:t>
      </w:r>
      <w:r w:rsidRPr="00BA3E8C">
        <w:rPr>
          <w:rFonts w:cs="Arial"/>
          <w:color w:val="000000"/>
        </w:rPr>
        <w:t>most appropriate for th</w:t>
      </w:r>
      <w:r w:rsidR="00D46FB3">
        <w:rPr>
          <w:rFonts w:cs="Arial"/>
          <w:color w:val="000000"/>
        </w:rPr>
        <w:t>e</w:t>
      </w:r>
      <w:r w:rsidRPr="00BA3E8C">
        <w:rPr>
          <w:rFonts w:cs="Arial"/>
          <w:color w:val="000000"/>
        </w:rPr>
        <w:t xml:space="preserve"> dietary exposure assessment </w:t>
      </w:r>
      <w:r w:rsidR="00D46FB3">
        <w:rPr>
          <w:rFonts w:cs="Arial"/>
          <w:color w:val="000000"/>
        </w:rPr>
        <w:t xml:space="preserve">for rapeseed protein isolate </w:t>
      </w:r>
      <w:r w:rsidRPr="00BA3E8C">
        <w:rPr>
          <w:rFonts w:cs="Arial"/>
          <w:color w:val="000000"/>
        </w:rPr>
        <w:t xml:space="preserve">as nutrition survey foods are grouped as per the food </w:t>
      </w:r>
      <w:r w:rsidR="00AE099C">
        <w:rPr>
          <w:rFonts w:cs="Arial"/>
          <w:color w:val="000000"/>
        </w:rPr>
        <w:t>classes</w:t>
      </w:r>
      <w:r w:rsidR="00AE099C" w:rsidRPr="00BA3E8C">
        <w:rPr>
          <w:rFonts w:cs="Arial"/>
          <w:color w:val="000000"/>
        </w:rPr>
        <w:t xml:space="preserve"> </w:t>
      </w:r>
      <w:r w:rsidRPr="00BA3E8C">
        <w:rPr>
          <w:rFonts w:cs="Arial"/>
          <w:color w:val="000000"/>
        </w:rPr>
        <w:t xml:space="preserve">in Schedule 15 of the Code and concentrations of </w:t>
      </w:r>
      <w:r>
        <w:rPr>
          <w:rFonts w:cs="Arial"/>
          <w:color w:val="000000"/>
        </w:rPr>
        <w:t xml:space="preserve">rapeseed protein isolate </w:t>
      </w:r>
      <w:r w:rsidRPr="00BA3E8C">
        <w:rPr>
          <w:rFonts w:cs="Arial"/>
          <w:color w:val="000000"/>
        </w:rPr>
        <w:t xml:space="preserve">are assigned to these relevant </w:t>
      </w:r>
      <w:r w:rsidR="00AE099C">
        <w:rPr>
          <w:rFonts w:cs="Arial"/>
          <w:color w:val="000000"/>
        </w:rPr>
        <w:t>classes</w:t>
      </w:r>
      <w:r w:rsidRPr="00BA3E8C">
        <w:rPr>
          <w:rFonts w:cs="Arial"/>
          <w:color w:val="000000"/>
        </w:rPr>
        <w:t xml:space="preserve">. </w:t>
      </w:r>
      <w:r w:rsidR="00D46FB3">
        <w:rPr>
          <w:rFonts w:cs="Arial"/>
          <w:color w:val="000000"/>
        </w:rPr>
        <w:t xml:space="preserve">Food </w:t>
      </w:r>
      <w:r w:rsidR="00ED7892">
        <w:rPr>
          <w:rFonts w:cs="Arial"/>
          <w:color w:val="000000"/>
        </w:rPr>
        <w:t>classes</w:t>
      </w:r>
      <w:r w:rsidR="00D46FB3">
        <w:rPr>
          <w:rFonts w:cs="Arial"/>
          <w:color w:val="000000"/>
        </w:rPr>
        <w:t xml:space="preserve"> in Schedule 15 are primarily processed food</w:t>
      </w:r>
      <w:r w:rsidR="00855F51">
        <w:rPr>
          <w:rFonts w:cs="Arial"/>
          <w:color w:val="000000"/>
        </w:rPr>
        <w:t xml:space="preserve"> based, which is where the novel food would be added. </w:t>
      </w:r>
      <w:r w:rsidRPr="00BA3E8C">
        <w:rPr>
          <w:rFonts w:cs="Arial"/>
          <w:color w:val="000000"/>
        </w:rPr>
        <w:t xml:space="preserve">The food </w:t>
      </w:r>
      <w:r w:rsidR="00AE099C">
        <w:rPr>
          <w:rFonts w:cs="Arial"/>
          <w:color w:val="000000"/>
        </w:rPr>
        <w:t>classes</w:t>
      </w:r>
      <w:r w:rsidR="00AE099C" w:rsidRPr="00BA3E8C">
        <w:rPr>
          <w:rFonts w:cs="Arial"/>
          <w:color w:val="000000"/>
        </w:rPr>
        <w:t xml:space="preserve"> </w:t>
      </w:r>
      <w:r w:rsidRPr="00BA3E8C">
        <w:rPr>
          <w:rFonts w:cs="Arial"/>
          <w:color w:val="000000"/>
        </w:rPr>
        <w:t>in Schedule 15 of the Code in some instances vary from the codes in Harvest. Therefore, to match the</w:t>
      </w:r>
      <w:r w:rsidR="00855F51">
        <w:rPr>
          <w:rFonts w:cs="Arial"/>
          <w:color w:val="000000"/>
        </w:rPr>
        <w:t xml:space="preserve"> proposed uses</w:t>
      </w:r>
      <w:r w:rsidRPr="00BA3E8C">
        <w:rPr>
          <w:rFonts w:cs="Arial"/>
          <w:color w:val="000000"/>
        </w:rPr>
        <w:t xml:space="preserve"> to the specific consumption data the corresponding codes needed to be matched. The Schedule 15 food </w:t>
      </w:r>
      <w:r w:rsidR="00AE099C">
        <w:rPr>
          <w:rFonts w:cs="Arial"/>
          <w:color w:val="000000"/>
        </w:rPr>
        <w:t>class</w:t>
      </w:r>
      <w:r w:rsidR="00AE099C" w:rsidRPr="00BA3E8C">
        <w:rPr>
          <w:rFonts w:cs="Arial"/>
          <w:color w:val="000000"/>
        </w:rPr>
        <w:t xml:space="preserve"> </w:t>
      </w:r>
      <w:r w:rsidRPr="00BA3E8C">
        <w:rPr>
          <w:rFonts w:cs="Arial"/>
          <w:color w:val="000000"/>
        </w:rPr>
        <w:t xml:space="preserve">code and the corresponding Harvest code are listed in </w:t>
      </w:r>
      <w:r w:rsidR="00855F51">
        <w:rPr>
          <w:rFonts w:cs="Arial"/>
          <w:color w:val="000000"/>
        </w:rPr>
        <w:t>Appendix 1</w:t>
      </w:r>
      <w:r w:rsidRPr="00BA3E8C">
        <w:rPr>
          <w:rFonts w:cs="Arial"/>
          <w:color w:val="000000"/>
        </w:rPr>
        <w:t>.</w:t>
      </w:r>
    </w:p>
    <w:p w14:paraId="18B6A4D6" w14:textId="61852B17" w:rsidR="00722814" w:rsidRPr="004B226A" w:rsidRDefault="00A01356" w:rsidP="00614DC8">
      <w:pPr>
        <w:pStyle w:val="Heading3"/>
      </w:pPr>
      <w:bookmarkStart w:id="1205" w:name="_Toc38549505"/>
      <w:bookmarkStart w:id="1206" w:name="_Toc38634167"/>
      <w:bookmarkStart w:id="1207" w:name="_Toc39571046"/>
      <w:bookmarkStart w:id="1208" w:name="_Toc39579302"/>
      <w:bookmarkStart w:id="1209" w:name="_Toc39579365"/>
      <w:bookmarkStart w:id="1210" w:name="_Toc39587123"/>
      <w:bookmarkStart w:id="1211" w:name="_Toc39582515"/>
      <w:bookmarkStart w:id="1212" w:name="_Toc40264934"/>
      <w:bookmarkStart w:id="1213" w:name="_Toc40266410"/>
      <w:bookmarkStart w:id="1214" w:name="_Toc40279743"/>
      <w:bookmarkStart w:id="1215" w:name="_Toc40282045"/>
      <w:bookmarkStart w:id="1216" w:name="_Toc40282207"/>
      <w:bookmarkStart w:id="1217" w:name="_Toc40360537"/>
      <w:bookmarkStart w:id="1218" w:name="_Toc40353580"/>
      <w:bookmarkStart w:id="1219" w:name="_Toc40366927"/>
      <w:bookmarkStart w:id="1220" w:name="_Toc40368259"/>
      <w:bookmarkStart w:id="1221" w:name="_Toc40382865"/>
      <w:bookmarkStart w:id="1222" w:name="_Toc40431064"/>
      <w:bookmarkStart w:id="1223" w:name="_Toc40433002"/>
      <w:bookmarkStart w:id="1224" w:name="_Toc40447687"/>
      <w:bookmarkStart w:id="1225" w:name="_Toc40441216"/>
      <w:bookmarkStart w:id="1226" w:name="_Toc40448552"/>
      <w:bookmarkStart w:id="1227" w:name="_Toc40449980"/>
      <w:bookmarkStart w:id="1228" w:name="_Toc40968324"/>
      <w:bookmarkStart w:id="1229" w:name="_Toc41051046"/>
      <w:bookmarkStart w:id="1230" w:name="_Toc41046046"/>
      <w:bookmarkStart w:id="1231" w:name="_Toc41053504"/>
      <w:bookmarkStart w:id="1232" w:name="_Toc44592675"/>
      <w:bookmarkStart w:id="1233" w:name="_Toc44596188"/>
      <w:bookmarkStart w:id="1234" w:name="_Toc44604583"/>
      <w:bookmarkStart w:id="1235" w:name="_Toc54169731"/>
      <w:bookmarkStart w:id="1236" w:name="_Toc56090020"/>
      <w:r>
        <w:t>6</w:t>
      </w:r>
      <w:r w:rsidR="00722814" w:rsidRPr="004B226A">
        <w:t>.</w:t>
      </w:r>
      <w:r w:rsidR="00722814">
        <w:t>2</w:t>
      </w:r>
      <w:r w:rsidR="00722814" w:rsidRPr="004B226A">
        <w:t>.3</w:t>
      </w:r>
      <w:r w:rsidR="002B7DEA">
        <w:tab/>
      </w:r>
      <w:r w:rsidR="00722814" w:rsidRPr="004B226A">
        <w:t>Estimated dietary exposures to erucic acid and glucosinolates</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14:paraId="390ED6A8" w14:textId="331B84F3" w:rsidR="00722814" w:rsidRDefault="00722814" w:rsidP="00722814">
      <w:r w:rsidRPr="00047F90">
        <w:t xml:space="preserve">A dietary exposure assessment was undertaken for erucic acid and glucosinolates in </w:t>
      </w:r>
      <w:r w:rsidR="00DA0240" w:rsidRPr="00DA0240">
        <w:rPr>
          <w:i/>
          <w:lang w:bidi="ar-SA"/>
        </w:rPr>
        <w:t>Brassica</w:t>
      </w:r>
      <w:r w:rsidR="00DA0240" w:rsidRPr="00047F90">
        <w:t xml:space="preserve"> </w:t>
      </w:r>
      <w:r w:rsidRPr="00047F90">
        <w:t xml:space="preserve">vegetables to estimate how much of each of these substances people are exposed to </w:t>
      </w:r>
      <w:r w:rsidR="006F11FE">
        <w:t>from</w:t>
      </w:r>
      <w:r w:rsidRPr="00047F90">
        <w:t xml:space="preserve"> Australian and New Zealand diets. These substances were identified as part of the hazard as</w:t>
      </w:r>
      <w:r w:rsidR="006F11FE">
        <w:t>sessment of rape</w:t>
      </w:r>
      <w:r w:rsidRPr="00047F90">
        <w:t xml:space="preserve">seed protein </w:t>
      </w:r>
      <w:r w:rsidR="006F11FE">
        <w:t xml:space="preserve">isolate </w:t>
      </w:r>
      <w:r w:rsidRPr="00047F90">
        <w:t xml:space="preserve">and will be compared to the amount of erucic acid and glucosinolates </w:t>
      </w:r>
      <w:r w:rsidR="00E94C2E" w:rsidRPr="00047F90">
        <w:t xml:space="preserve">people </w:t>
      </w:r>
      <w:r w:rsidR="00FD28D3">
        <w:t>would be exposed to from consuming rapeseed protein isolate</w:t>
      </w:r>
      <w:r w:rsidRPr="00047F90">
        <w:t xml:space="preserve">. </w:t>
      </w:r>
      <w:r w:rsidR="00DA0240" w:rsidRPr="00DA0240">
        <w:rPr>
          <w:i/>
          <w:lang w:bidi="ar-SA"/>
        </w:rPr>
        <w:t>Brassica</w:t>
      </w:r>
      <w:r w:rsidR="00DA0240" w:rsidRPr="00047F90">
        <w:t xml:space="preserve"> </w:t>
      </w:r>
      <w:r w:rsidRPr="00047F90">
        <w:t xml:space="preserve">vegetables were the only food included for this assessment because they were identified as </w:t>
      </w:r>
      <w:r w:rsidR="00FD28D3">
        <w:t>a</w:t>
      </w:r>
      <w:r w:rsidRPr="00047F90">
        <w:t xml:space="preserve"> source of these substances in the food supply.</w:t>
      </w:r>
    </w:p>
    <w:p w14:paraId="678C339C" w14:textId="2AB23D61" w:rsidR="006E141E" w:rsidRDefault="006E141E" w:rsidP="00722814"/>
    <w:p w14:paraId="12E97D3F" w14:textId="311FE514" w:rsidR="006E141E" w:rsidRPr="00047F90" w:rsidRDefault="006F11FE" w:rsidP="00722814">
      <w:r>
        <w:t>A literature</w:t>
      </w:r>
      <w:r w:rsidR="006E141E">
        <w:t xml:space="preserve"> search was undertaken to locate concentration data for erucic acid and glucosinolates in </w:t>
      </w:r>
      <w:r w:rsidR="00DA0240" w:rsidRPr="00DA0240">
        <w:rPr>
          <w:i/>
          <w:lang w:bidi="ar-SA"/>
        </w:rPr>
        <w:t>Brassica</w:t>
      </w:r>
      <w:r w:rsidR="00DA0240">
        <w:t xml:space="preserve"> </w:t>
      </w:r>
      <w:r w:rsidR="006E141E">
        <w:t xml:space="preserve">vegetables. The data were evaluated to determine representative concentrations to use in the dietary exposure assessment. These concentrations were combined with consumption data for </w:t>
      </w:r>
      <w:r w:rsidR="00DA0240" w:rsidRPr="00DA0240">
        <w:rPr>
          <w:i/>
          <w:lang w:bidi="ar-SA"/>
        </w:rPr>
        <w:t>Brassica</w:t>
      </w:r>
      <w:r w:rsidR="00DA0240">
        <w:t xml:space="preserve"> </w:t>
      </w:r>
      <w:r w:rsidR="006E141E">
        <w:t>vegetables extracted from Harvest</w:t>
      </w:r>
      <w:r>
        <w:t xml:space="preserve"> to estimate dietary exposure</w:t>
      </w:r>
      <w:r w:rsidR="006E141E">
        <w:t>. Further details of the literature search</w:t>
      </w:r>
      <w:r w:rsidR="00951EAB">
        <w:t>,</w:t>
      </w:r>
      <w:r w:rsidR="006E141E">
        <w:t xml:space="preserve"> the evaluation of the studies</w:t>
      </w:r>
      <w:r>
        <w:t xml:space="preserve"> and selection of the representative concentration data </w:t>
      </w:r>
      <w:r w:rsidR="006E141E">
        <w:t xml:space="preserve">can be found </w:t>
      </w:r>
      <w:r w:rsidR="006E141E" w:rsidRPr="00197F3C">
        <w:t>in Appendix 1.</w:t>
      </w:r>
    </w:p>
    <w:p w14:paraId="207BAA22" w14:textId="719E04D6" w:rsidR="00722814" w:rsidRDefault="00722814" w:rsidP="00722814"/>
    <w:p w14:paraId="01C2ADC4" w14:textId="7BC61371" w:rsidR="00B2192B" w:rsidRDefault="00B2192B" w:rsidP="00722814">
      <w:r>
        <w:t xml:space="preserve">The dietary exposure to erucic acid and glucosinolates that would come from the addition of rapeseed protein isolate to foods was estimated. This was done by multiplying the amount of erucic acid or glucosinolates in the specification by the dietary exposure to rapeseed protein isolate. The maximum amount erucic acid in rapeseed protein isolate according to the specification was 0.005%. For glucosinolates the specification was 1 </w:t>
      </w:r>
      <w:r>
        <w:rPr>
          <w:rFonts w:cs="Arial"/>
        </w:rPr>
        <w:t>µ</w:t>
      </w:r>
      <w:r>
        <w:t xml:space="preserve">mol/g. This was converted using a molecular weight of </w:t>
      </w:r>
      <w:r w:rsidR="00964012">
        <w:t>455 g/mol (</w:t>
      </w:r>
      <w:r w:rsidR="00964012" w:rsidRPr="002E114E">
        <w:t xml:space="preserve">VanEtten </w:t>
      </w:r>
      <w:r w:rsidR="00964012" w:rsidRPr="004F1514">
        <w:rPr>
          <w:i/>
        </w:rPr>
        <w:t>et. al.</w:t>
      </w:r>
      <w:r w:rsidR="00964012">
        <w:t xml:space="preserve"> </w:t>
      </w:r>
      <w:r w:rsidR="00964012" w:rsidRPr="002E114E">
        <w:t>1980)</w:t>
      </w:r>
      <w:r>
        <w:t xml:space="preserve"> to </w:t>
      </w:r>
      <w:r w:rsidR="00964012">
        <w:t>0.0455</w:t>
      </w:r>
      <w:r w:rsidR="001C6387">
        <w:t>%</w:t>
      </w:r>
      <w:r>
        <w:t xml:space="preserve"> for the dietary exposure calculation</w:t>
      </w:r>
      <w:r w:rsidR="00B169D0">
        <w:t>.</w:t>
      </w:r>
    </w:p>
    <w:p w14:paraId="64EEE616" w14:textId="6215E633" w:rsidR="00A36783" w:rsidDel="0045030B" w:rsidRDefault="00A01356" w:rsidP="00614DC8">
      <w:pPr>
        <w:pStyle w:val="Heading3"/>
      </w:pPr>
      <w:bookmarkStart w:id="1237" w:name="_Toc38549506"/>
      <w:bookmarkStart w:id="1238" w:name="_Toc38634168"/>
      <w:bookmarkStart w:id="1239" w:name="_Toc39571047"/>
      <w:bookmarkStart w:id="1240" w:name="_Toc39579303"/>
      <w:bookmarkStart w:id="1241" w:name="_Toc39579366"/>
      <w:bookmarkStart w:id="1242" w:name="_Toc39587124"/>
      <w:bookmarkStart w:id="1243" w:name="_Toc39582516"/>
      <w:bookmarkStart w:id="1244" w:name="_Toc40264935"/>
      <w:bookmarkStart w:id="1245" w:name="_Toc40266411"/>
      <w:bookmarkStart w:id="1246" w:name="_Toc40279744"/>
      <w:bookmarkStart w:id="1247" w:name="_Toc40282046"/>
      <w:bookmarkStart w:id="1248" w:name="_Toc40282208"/>
      <w:bookmarkStart w:id="1249" w:name="_Toc40360538"/>
      <w:bookmarkStart w:id="1250" w:name="_Toc40353581"/>
      <w:bookmarkStart w:id="1251" w:name="_Toc40366928"/>
      <w:bookmarkStart w:id="1252" w:name="_Toc40368260"/>
      <w:bookmarkStart w:id="1253" w:name="_Toc40382866"/>
      <w:bookmarkStart w:id="1254" w:name="_Toc40431065"/>
      <w:bookmarkStart w:id="1255" w:name="_Toc40433003"/>
      <w:bookmarkStart w:id="1256" w:name="_Toc40447688"/>
      <w:bookmarkStart w:id="1257" w:name="_Toc40441217"/>
      <w:bookmarkStart w:id="1258" w:name="_Toc40448553"/>
      <w:bookmarkStart w:id="1259" w:name="_Toc40449981"/>
      <w:bookmarkStart w:id="1260" w:name="_Toc40968325"/>
      <w:bookmarkStart w:id="1261" w:name="_Toc41051047"/>
      <w:bookmarkStart w:id="1262" w:name="_Toc41046047"/>
      <w:bookmarkStart w:id="1263" w:name="_Toc41053505"/>
      <w:bookmarkStart w:id="1264" w:name="_Toc44592676"/>
      <w:bookmarkStart w:id="1265" w:name="_Toc44596189"/>
      <w:bookmarkStart w:id="1266" w:name="_Toc44604584"/>
      <w:bookmarkStart w:id="1267" w:name="_Toc54169732"/>
      <w:bookmarkStart w:id="1268" w:name="_Toc56090021"/>
      <w:r w:rsidDel="0045030B">
        <w:t>6</w:t>
      </w:r>
      <w:r w:rsidR="00A36783" w:rsidDel="0045030B">
        <w:t>.</w:t>
      </w:r>
      <w:r w:rsidR="006E141E" w:rsidDel="0045030B">
        <w:t>2.4</w:t>
      </w:r>
      <w:r w:rsidR="002B7DEA" w:rsidDel="0045030B">
        <w:tab/>
      </w:r>
      <w:r w:rsidR="00A36783" w:rsidDel="0045030B">
        <w:t>Food consumption data used</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44F5F828" w14:textId="1A8F45EA" w:rsidR="003A0A53" w:rsidRPr="00BA1BF6" w:rsidDel="0045030B" w:rsidRDefault="003A0A53" w:rsidP="003A0A53">
      <w:r w:rsidRPr="00047F90" w:rsidDel="0045030B">
        <w:t xml:space="preserve">Dietary exposure assessments based on food consumption data from national nutrition surveys provide the best estimation of actual consumption of a food and the resulting estimated dietary exposure for the Australian </w:t>
      </w:r>
      <w:r w:rsidRPr="00BA1BF6" w:rsidDel="0045030B">
        <w:t xml:space="preserve">and New Zealand populations. </w:t>
      </w:r>
      <w:r w:rsidR="006F11FE" w:rsidRPr="00BA1BF6" w:rsidDel="0045030B">
        <w:t>Further details about t</w:t>
      </w:r>
      <w:r w:rsidRPr="00BA1BF6" w:rsidDel="0045030B">
        <w:t xml:space="preserve">he </w:t>
      </w:r>
      <w:r w:rsidR="006F11FE" w:rsidRPr="00BA1BF6" w:rsidDel="0045030B">
        <w:t xml:space="preserve">consumption data including the </w:t>
      </w:r>
      <w:r w:rsidRPr="00BA1BF6" w:rsidDel="0045030B">
        <w:t>design of the nutrition surveys and the key attributes, including survey limitations, are set out in Appendix 1.</w:t>
      </w:r>
    </w:p>
    <w:p w14:paraId="2B3DF11F" w14:textId="0579CF1E" w:rsidR="003A0A53" w:rsidRPr="00BA1BF6" w:rsidDel="0045030B" w:rsidRDefault="003A0A53" w:rsidP="003A0A53"/>
    <w:p w14:paraId="0257FCE5" w14:textId="4D34A5C9" w:rsidR="003A0A53" w:rsidRPr="00BA1BF6" w:rsidDel="0045030B" w:rsidRDefault="003A0A53" w:rsidP="003A0A53">
      <w:r w:rsidRPr="00BA1BF6" w:rsidDel="0045030B">
        <w:t>The food consumption data used for the die</w:t>
      </w:r>
      <w:r w:rsidR="00EF7054" w:rsidRPr="00BA1BF6" w:rsidDel="0045030B">
        <w:t>tary exposure assessments were:</w:t>
      </w:r>
    </w:p>
    <w:p w14:paraId="048D8D60" w14:textId="744171C0" w:rsidR="003A0A53" w:rsidRPr="00BA1BF6" w:rsidDel="0045030B" w:rsidRDefault="003A0A53" w:rsidP="003A0A53">
      <w:pPr>
        <w:pStyle w:val="ListParagraph"/>
        <w:numPr>
          <w:ilvl w:val="0"/>
          <w:numId w:val="7"/>
        </w:numPr>
      </w:pPr>
      <w:r w:rsidRPr="00BA1BF6" w:rsidDel="0045030B">
        <w:t>2011-12 Australian National Nutrition and Physical Activity Survey (2011-12 NNPAS)</w:t>
      </w:r>
    </w:p>
    <w:p w14:paraId="4575477C" w14:textId="0DB5D44E" w:rsidR="003A0A53" w:rsidRPr="00BA1BF6" w:rsidDel="0045030B" w:rsidRDefault="003A0A53" w:rsidP="003A0A53">
      <w:pPr>
        <w:pStyle w:val="ListParagraph"/>
        <w:numPr>
          <w:ilvl w:val="0"/>
          <w:numId w:val="7"/>
        </w:numPr>
      </w:pPr>
      <w:r w:rsidRPr="00BA1BF6" w:rsidDel="0045030B">
        <w:t>2008–09 New Zealand Adult Nutrition Survey (2008 NZ ANS)</w:t>
      </w:r>
    </w:p>
    <w:p w14:paraId="3F4445F1" w14:textId="204907E9" w:rsidR="003A0A53" w:rsidRPr="00BA1BF6" w:rsidDel="0045030B" w:rsidRDefault="003A0A53" w:rsidP="003A0A53">
      <w:pPr>
        <w:pStyle w:val="ListParagraph"/>
        <w:numPr>
          <w:ilvl w:val="0"/>
          <w:numId w:val="7"/>
        </w:numPr>
      </w:pPr>
      <w:r w:rsidRPr="00BA1BF6" w:rsidDel="0045030B">
        <w:t>2002 New Zealand National Children’s Nutrition Survey (2002 NZ CNS)</w:t>
      </w:r>
      <w:r w:rsidR="00EF7054" w:rsidRPr="00BA1BF6" w:rsidDel="0045030B">
        <w:t>.</w:t>
      </w:r>
    </w:p>
    <w:p w14:paraId="4CFE4E50" w14:textId="2CC128BF" w:rsidR="003A0A53" w:rsidRPr="00BA1BF6" w:rsidDel="0045030B" w:rsidRDefault="003A0A53" w:rsidP="003A0A53"/>
    <w:p w14:paraId="671CD507" w14:textId="5BCE2529" w:rsidR="00B90FA4" w:rsidDel="0045030B" w:rsidRDefault="003A0A53" w:rsidP="005B614B">
      <w:r w:rsidRPr="00BA1BF6" w:rsidDel="0045030B">
        <w:t>Further details regarding the food consumption data used in the asses</w:t>
      </w:r>
      <w:r w:rsidR="00EF7054" w:rsidRPr="00BA1BF6" w:rsidDel="0045030B">
        <w:t xml:space="preserve">sment can be found in Appendix </w:t>
      </w:r>
      <w:r w:rsidRPr="00BA1BF6" w:rsidDel="0045030B">
        <w:t>1.</w:t>
      </w:r>
    </w:p>
    <w:p w14:paraId="20CCBBD0" w14:textId="0E747C2D" w:rsidR="00B169D0" w:rsidDel="0045030B" w:rsidRDefault="00B169D0" w:rsidP="005B614B"/>
    <w:p w14:paraId="03D67A33" w14:textId="5C1B4B3E" w:rsidR="00B66226" w:rsidDel="0045030B" w:rsidRDefault="002C348C" w:rsidP="005B614B">
      <w:r w:rsidRPr="00047F90" w:rsidDel="0045030B">
        <w:t>Two days of consumption data were average</w:t>
      </w:r>
      <w:r w:rsidR="00A512D0" w:rsidDel="0045030B">
        <w:t>d</w:t>
      </w:r>
      <w:r w:rsidRPr="00047F90" w:rsidDel="0045030B">
        <w:t xml:space="preserve"> for Australia using the 2011-12 NNPAS, while consumption amounts for New Zealand were based on a singl</w:t>
      </w:r>
      <w:r w:rsidR="000E44C2" w:rsidDel="0045030B">
        <w:t>e day of nutrition survey data.</w:t>
      </w:r>
    </w:p>
    <w:p w14:paraId="34EE8ADF" w14:textId="58D4C5BE" w:rsidR="00B66226" w:rsidRDefault="00A01356" w:rsidP="00614DC8">
      <w:pPr>
        <w:pStyle w:val="Heading3"/>
      </w:pPr>
      <w:bookmarkStart w:id="1269" w:name="_Toc38634169"/>
      <w:bookmarkStart w:id="1270" w:name="_Toc39571048"/>
      <w:bookmarkStart w:id="1271" w:name="_Toc39579304"/>
      <w:bookmarkStart w:id="1272" w:name="_Toc39579367"/>
      <w:bookmarkStart w:id="1273" w:name="_Toc39587125"/>
      <w:bookmarkStart w:id="1274" w:name="_Toc39582517"/>
      <w:bookmarkStart w:id="1275" w:name="_Toc40264936"/>
      <w:bookmarkStart w:id="1276" w:name="_Toc40266412"/>
      <w:bookmarkStart w:id="1277" w:name="_Toc40279745"/>
      <w:bookmarkStart w:id="1278" w:name="_Toc40282047"/>
      <w:bookmarkStart w:id="1279" w:name="_Toc40282209"/>
      <w:bookmarkStart w:id="1280" w:name="_Toc40360539"/>
      <w:bookmarkStart w:id="1281" w:name="_Toc40353582"/>
      <w:bookmarkStart w:id="1282" w:name="_Toc40366929"/>
      <w:bookmarkStart w:id="1283" w:name="_Toc40368261"/>
      <w:bookmarkStart w:id="1284" w:name="_Toc40382867"/>
      <w:bookmarkStart w:id="1285" w:name="_Toc40431066"/>
      <w:bookmarkStart w:id="1286" w:name="_Toc40433004"/>
      <w:bookmarkStart w:id="1287" w:name="_Toc40447689"/>
      <w:bookmarkStart w:id="1288" w:name="_Toc40441218"/>
      <w:bookmarkStart w:id="1289" w:name="_Toc40448554"/>
      <w:bookmarkStart w:id="1290" w:name="_Toc40449982"/>
      <w:bookmarkStart w:id="1291" w:name="_Toc40968326"/>
      <w:bookmarkStart w:id="1292" w:name="_Toc41051048"/>
      <w:bookmarkStart w:id="1293" w:name="_Toc41046048"/>
      <w:bookmarkStart w:id="1294" w:name="_Toc41053506"/>
      <w:bookmarkStart w:id="1295" w:name="_Toc44592677"/>
      <w:bookmarkStart w:id="1296" w:name="_Toc44596190"/>
      <w:bookmarkStart w:id="1297" w:name="_Toc44604585"/>
      <w:bookmarkStart w:id="1298" w:name="_Toc54169733"/>
      <w:bookmarkStart w:id="1299" w:name="_Toc56090022"/>
      <w:bookmarkStart w:id="1300" w:name="_Toc38549507"/>
      <w:r>
        <w:t>6</w:t>
      </w:r>
      <w:r w:rsidR="00FD28D3">
        <w:t>.</w:t>
      </w:r>
      <w:r w:rsidR="006E141E">
        <w:t>2.5</w:t>
      </w:r>
      <w:r w:rsidR="002B7DEA">
        <w:tab/>
      </w:r>
      <w:r w:rsidR="00B66226">
        <w:t>Population groups assessed</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p>
    <w:p w14:paraId="2812839D" w14:textId="71B33E03" w:rsidR="00B66226" w:rsidRDefault="00B66226" w:rsidP="00B66226">
      <w:r>
        <w:t>No specific target or at risk population groups were identified as requiring separate dietary exposure assessments. Therefore the population groups assessed were based on the those for the nutrition surveys: Australians aged 2 years and above, New Zealand children 5-14 years and New Zealand adults 15 years and above.</w:t>
      </w:r>
    </w:p>
    <w:p w14:paraId="045EDB06" w14:textId="4B88FA3F" w:rsidR="0024099E" w:rsidRDefault="0024099E" w:rsidP="00B66226"/>
    <w:p w14:paraId="6819607B" w14:textId="3C25D343" w:rsidR="0024099E" w:rsidRDefault="0024099E" w:rsidP="00B66226">
      <w:r>
        <w:rPr>
          <w:lang w:bidi="ar-SA"/>
        </w:rPr>
        <w:t>The use of rapeseed protein isolate in infant formula products (includes infant formula, follow-on formula and infant formula products for special dietary uses) and infant foods was not requested by the applicant and so the dietary exposure assessment does not include this population group.</w:t>
      </w:r>
    </w:p>
    <w:p w14:paraId="2E0D34DB" w14:textId="441B32DB" w:rsidR="008B483C" w:rsidRDefault="00A01356" w:rsidP="00614DC8">
      <w:pPr>
        <w:pStyle w:val="Heading3"/>
      </w:pPr>
      <w:bookmarkStart w:id="1301" w:name="_Toc38634170"/>
      <w:bookmarkStart w:id="1302" w:name="_Toc39571049"/>
      <w:bookmarkStart w:id="1303" w:name="_Toc39579305"/>
      <w:bookmarkStart w:id="1304" w:name="_Toc39579368"/>
      <w:bookmarkStart w:id="1305" w:name="_Toc39587126"/>
      <w:bookmarkStart w:id="1306" w:name="_Toc39582518"/>
      <w:bookmarkStart w:id="1307" w:name="_Toc40264937"/>
      <w:bookmarkStart w:id="1308" w:name="_Toc40266413"/>
      <w:bookmarkStart w:id="1309" w:name="_Toc40279746"/>
      <w:bookmarkStart w:id="1310" w:name="_Toc40282048"/>
      <w:bookmarkStart w:id="1311" w:name="_Toc40282210"/>
      <w:bookmarkStart w:id="1312" w:name="_Toc40360540"/>
      <w:bookmarkStart w:id="1313" w:name="_Toc40353583"/>
      <w:bookmarkStart w:id="1314" w:name="_Toc40366930"/>
      <w:bookmarkStart w:id="1315" w:name="_Toc40368262"/>
      <w:bookmarkStart w:id="1316" w:name="_Toc40382868"/>
      <w:bookmarkStart w:id="1317" w:name="_Toc40431067"/>
      <w:bookmarkStart w:id="1318" w:name="_Toc40433005"/>
      <w:bookmarkStart w:id="1319" w:name="_Toc40447690"/>
      <w:bookmarkStart w:id="1320" w:name="_Toc40441219"/>
      <w:bookmarkStart w:id="1321" w:name="_Toc40448555"/>
      <w:bookmarkStart w:id="1322" w:name="_Toc40449983"/>
      <w:bookmarkStart w:id="1323" w:name="_Toc40968327"/>
      <w:bookmarkStart w:id="1324" w:name="_Toc41051049"/>
      <w:bookmarkStart w:id="1325" w:name="_Toc41046049"/>
      <w:bookmarkStart w:id="1326" w:name="_Toc41053507"/>
      <w:bookmarkStart w:id="1327" w:name="_Toc44592678"/>
      <w:bookmarkStart w:id="1328" w:name="_Toc44596191"/>
      <w:bookmarkStart w:id="1329" w:name="_Toc44604586"/>
      <w:bookmarkStart w:id="1330" w:name="_Toc54169734"/>
      <w:bookmarkStart w:id="1331" w:name="_Toc56090023"/>
      <w:r>
        <w:t>6</w:t>
      </w:r>
      <w:r w:rsidR="00FD28D3">
        <w:t>.</w:t>
      </w:r>
      <w:r w:rsidR="006E141E">
        <w:t>2.</w:t>
      </w:r>
      <w:r w:rsidR="00B66226">
        <w:t>6</w:t>
      </w:r>
      <w:r w:rsidR="002B7DEA">
        <w:tab/>
      </w:r>
      <w:r w:rsidR="008B483C">
        <w:t>Concentration data</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4BB18A7D" w14:textId="15002464" w:rsidR="008B483C" w:rsidRDefault="00A01356" w:rsidP="00B23CA5">
      <w:pPr>
        <w:pStyle w:val="Heading4"/>
      </w:pPr>
      <w:r>
        <w:t>6</w:t>
      </w:r>
      <w:r w:rsidR="00C92CBA">
        <w:t>.</w:t>
      </w:r>
      <w:r w:rsidR="00B24C75">
        <w:t>2.</w:t>
      </w:r>
      <w:r w:rsidR="002B7DEA">
        <w:t>6</w:t>
      </w:r>
      <w:r w:rsidR="008B483C">
        <w:t>.1</w:t>
      </w:r>
      <w:r w:rsidR="002B7DEA">
        <w:tab/>
      </w:r>
      <w:r w:rsidR="00B24C75">
        <w:t xml:space="preserve">Concentration data for </w:t>
      </w:r>
      <w:r w:rsidR="00441143">
        <w:t>r</w:t>
      </w:r>
      <w:r w:rsidR="008B483C">
        <w:t>apeseed protein isolate</w:t>
      </w:r>
    </w:p>
    <w:p w14:paraId="3361771B" w14:textId="6A35A553" w:rsidR="00EF7054" w:rsidRDefault="00EF7054" w:rsidP="00EF7054">
      <w:pPr>
        <w:rPr>
          <w:lang w:eastAsia="en-AU" w:bidi="ar-SA"/>
        </w:rPr>
      </w:pPr>
      <w:r>
        <w:rPr>
          <w:lang w:eastAsia="en-AU" w:bidi="ar-SA"/>
        </w:rPr>
        <w:t>The proposed</w:t>
      </w:r>
      <w:r w:rsidR="00A512D0">
        <w:rPr>
          <w:lang w:eastAsia="en-AU" w:bidi="ar-SA"/>
        </w:rPr>
        <w:t xml:space="preserve"> maximum</w:t>
      </w:r>
      <w:r>
        <w:rPr>
          <w:lang w:eastAsia="en-AU" w:bidi="ar-SA"/>
        </w:rPr>
        <w:t xml:space="preserve"> use levels</w:t>
      </w:r>
      <w:r w:rsidR="00BC462A">
        <w:rPr>
          <w:lang w:eastAsia="en-AU" w:bidi="ar-SA"/>
        </w:rPr>
        <w:t>, typical use levels</w:t>
      </w:r>
      <w:r>
        <w:rPr>
          <w:lang w:eastAsia="en-AU" w:bidi="ar-SA"/>
        </w:rPr>
        <w:t xml:space="preserve"> </w:t>
      </w:r>
      <w:r w:rsidRPr="00BA1BF6">
        <w:rPr>
          <w:lang w:eastAsia="en-AU" w:bidi="ar-SA"/>
        </w:rPr>
        <w:t xml:space="preserve">and the food </w:t>
      </w:r>
      <w:r w:rsidR="00ED7892">
        <w:rPr>
          <w:lang w:eastAsia="en-AU" w:bidi="ar-SA"/>
        </w:rPr>
        <w:t>groups</w:t>
      </w:r>
      <w:r w:rsidRPr="00BA1BF6">
        <w:rPr>
          <w:lang w:eastAsia="en-AU" w:bidi="ar-SA"/>
        </w:rPr>
        <w:t xml:space="preserve"> where rapeseed protein isolate could be used were provided by the applicant (Table</w:t>
      </w:r>
      <w:r w:rsidR="009822B6" w:rsidRPr="00BA1BF6">
        <w:rPr>
          <w:lang w:eastAsia="en-AU" w:bidi="ar-SA"/>
        </w:rPr>
        <w:t xml:space="preserve"> 6</w:t>
      </w:r>
      <w:r w:rsidRPr="00BA1BF6">
        <w:rPr>
          <w:lang w:eastAsia="en-AU" w:bidi="ar-SA"/>
        </w:rPr>
        <w:t>.1). These proposed food groups were matched to the appropriate food category in FSANZ’s Harvest program. The list of categories and concentrations used in the dietary exposure assessment are presented in Appendix 1.</w:t>
      </w:r>
      <w:r w:rsidR="00D27FF0">
        <w:rPr>
          <w:lang w:eastAsia="en-AU" w:bidi="ar-SA"/>
        </w:rPr>
        <w:t xml:space="preserve"> Where a range of concentrations is provided for the typical use levels, the highest concentration in the range was used in the dietary exposure assessment as a worst case for the typical use scenario.</w:t>
      </w:r>
    </w:p>
    <w:p w14:paraId="44E0F4C8" w14:textId="3A0D6F7A" w:rsidR="00EF7054" w:rsidRDefault="00EF7054" w:rsidP="00EF7054">
      <w:pPr>
        <w:rPr>
          <w:lang w:eastAsia="en-AU" w:bidi="ar-SA"/>
        </w:rPr>
      </w:pPr>
    </w:p>
    <w:p w14:paraId="1F325A29" w14:textId="08F5ED3F" w:rsidR="008B483C" w:rsidRPr="002B7DEA" w:rsidRDefault="008B483C" w:rsidP="00C56035">
      <w:pPr>
        <w:keepNext/>
        <w:keepLines/>
        <w:rPr>
          <w:b/>
          <w:i/>
        </w:rPr>
      </w:pPr>
      <w:r w:rsidRPr="002B7DEA">
        <w:rPr>
          <w:b/>
          <w:i/>
        </w:rPr>
        <w:t xml:space="preserve">Table </w:t>
      </w:r>
      <w:r w:rsidR="009822B6" w:rsidRPr="002B7DEA">
        <w:rPr>
          <w:b/>
          <w:i/>
        </w:rPr>
        <w:t>6</w:t>
      </w:r>
      <w:r w:rsidR="00EF7054" w:rsidRPr="002B7DEA">
        <w:rPr>
          <w:b/>
          <w:i/>
        </w:rPr>
        <w:t>.</w:t>
      </w:r>
      <w:r>
        <w:rPr>
          <w:b/>
          <w:i/>
        </w:rPr>
        <w:t>1</w:t>
      </w:r>
      <w:r w:rsidR="002B7DEA">
        <w:rPr>
          <w:b/>
          <w:i/>
        </w:rPr>
        <w:tab/>
      </w:r>
      <w:r w:rsidR="00A512D0" w:rsidRPr="002B7DEA">
        <w:rPr>
          <w:i/>
        </w:rPr>
        <w:t xml:space="preserve">Maximum </w:t>
      </w:r>
      <w:r w:rsidR="00BC462A">
        <w:rPr>
          <w:i/>
        </w:rPr>
        <w:t xml:space="preserve">and typical </w:t>
      </w:r>
      <w:r w:rsidR="00A512D0" w:rsidRPr="002B7DEA">
        <w:rPr>
          <w:i/>
        </w:rPr>
        <w:t>proposed use level</w:t>
      </w:r>
      <w:r w:rsidR="00BC462A">
        <w:rPr>
          <w:i/>
        </w:rPr>
        <w:t>s</w:t>
      </w:r>
      <w:r w:rsidR="00A512D0" w:rsidRPr="002B7DEA">
        <w:rPr>
          <w:i/>
        </w:rPr>
        <w:t xml:space="preserve"> </w:t>
      </w:r>
      <w:r w:rsidR="00FA45EF" w:rsidRPr="002B7DEA">
        <w:rPr>
          <w:i/>
        </w:rPr>
        <w:t>of rapeseed protein isolate and the proposed food groups as provided by the applicant</w:t>
      </w:r>
    </w:p>
    <w:p w14:paraId="50240B26" w14:textId="77777777" w:rsidR="002B7DEA" w:rsidRPr="002B7DEA" w:rsidRDefault="002B7DEA" w:rsidP="00C56035">
      <w:pPr>
        <w:keepNext/>
        <w:keepLines/>
        <w:rPr>
          <w:lang w:eastAsia="en-AU" w:bidi="ar-SA"/>
        </w:rPr>
      </w:pPr>
    </w:p>
    <w:tbl>
      <w:tblPr>
        <w:tblStyle w:val="TableGrid"/>
        <w:tblW w:w="0" w:type="auto"/>
        <w:tblLook w:val="04A0" w:firstRow="1" w:lastRow="0" w:firstColumn="1" w:lastColumn="0" w:noHBand="0" w:noVBand="1"/>
        <w:tblCaption w:val="Maximum proposed use level of rapeseed protein isolate and the proposed food groups as provided by the applicant"/>
        <w:tblDescription w:val="Table 6.1 includes 4 columns, the first is food group, the second is examples of the foods rapeseed protein isolates is used in, the third is foods that will exclude use of rapeseed protein isolates. The last column is the  proposed maximum use level of rapeseed protein isolate for each food group and ranges from 5 to 30%&#10;&#10;"/>
      </w:tblPr>
      <w:tblGrid>
        <w:gridCol w:w="1758"/>
        <w:gridCol w:w="2603"/>
        <w:gridCol w:w="2070"/>
        <w:gridCol w:w="1442"/>
        <w:gridCol w:w="1187"/>
      </w:tblGrid>
      <w:tr w:rsidR="00D43DD6" w:rsidRPr="00EF7054" w14:paraId="1371CDC4" w14:textId="5E689AA4" w:rsidTr="00523ACD">
        <w:tc>
          <w:tcPr>
            <w:tcW w:w="1758" w:type="dxa"/>
          </w:tcPr>
          <w:p w14:paraId="69B9A33F" w14:textId="77777777" w:rsidR="00D43DD6" w:rsidRPr="00EF7054" w:rsidRDefault="00D43DD6" w:rsidP="00C56035">
            <w:pPr>
              <w:pStyle w:val="FSTableText"/>
              <w:keepNext/>
              <w:keepLines/>
              <w:rPr>
                <w:b/>
                <w:lang w:bidi="ar-SA"/>
              </w:rPr>
            </w:pPr>
            <w:r w:rsidRPr="00EF7054">
              <w:rPr>
                <w:b/>
                <w:lang w:bidi="ar-SA"/>
              </w:rPr>
              <w:t>Food Group</w:t>
            </w:r>
          </w:p>
        </w:tc>
        <w:tc>
          <w:tcPr>
            <w:tcW w:w="2603" w:type="dxa"/>
          </w:tcPr>
          <w:p w14:paraId="11B88540" w14:textId="77777777" w:rsidR="00D43DD6" w:rsidRPr="00EF7054" w:rsidRDefault="00D43DD6" w:rsidP="00DD2C9F">
            <w:pPr>
              <w:rPr>
                <w:b/>
                <w:lang w:bidi="ar-SA"/>
              </w:rPr>
            </w:pPr>
            <w:r w:rsidRPr="00DD2C9F">
              <w:rPr>
                <w:rFonts w:cs="Arial"/>
                <w:b/>
                <w:color w:val="000000"/>
                <w:lang w:eastAsia="en-GB"/>
              </w:rPr>
              <w:t>Examples</w:t>
            </w:r>
          </w:p>
        </w:tc>
        <w:tc>
          <w:tcPr>
            <w:tcW w:w="2070" w:type="dxa"/>
          </w:tcPr>
          <w:p w14:paraId="6EDCA829" w14:textId="77777777" w:rsidR="00D43DD6" w:rsidRPr="00EF7054" w:rsidRDefault="00D43DD6" w:rsidP="00C56035">
            <w:pPr>
              <w:pStyle w:val="FSTableText"/>
              <w:keepNext/>
              <w:keepLines/>
              <w:rPr>
                <w:b/>
                <w:lang w:bidi="ar-SA"/>
              </w:rPr>
            </w:pPr>
            <w:r w:rsidRPr="00EF7054">
              <w:rPr>
                <w:b/>
                <w:lang w:bidi="ar-SA"/>
              </w:rPr>
              <w:t>Excludes*</w:t>
            </w:r>
          </w:p>
        </w:tc>
        <w:tc>
          <w:tcPr>
            <w:tcW w:w="1442" w:type="dxa"/>
          </w:tcPr>
          <w:p w14:paraId="222C2AC7" w14:textId="4773604F" w:rsidR="00D43DD6" w:rsidRPr="00EF7054" w:rsidRDefault="00D43DD6" w:rsidP="00D43DD6">
            <w:pPr>
              <w:pStyle w:val="FSTableText"/>
              <w:keepNext/>
              <w:keepLines/>
              <w:jc w:val="right"/>
              <w:rPr>
                <w:b/>
                <w:lang w:bidi="ar-SA"/>
              </w:rPr>
            </w:pPr>
            <w:r>
              <w:rPr>
                <w:b/>
                <w:lang w:bidi="ar-SA"/>
              </w:rPr>
              <w:t>Proposed maximum u</w:t>
            </w:r>
            <w:r w:rsidRPr="00EF7054">
              <w:rPr>
                <w:b/>
                <w:lang w:bidi="ar-SA"/>
              </w:rPr>
              <w:t>se level (%)</w:t>
            </w:r>
          </w:p>
        </w:tc>
        <w:tc>
          <w:tcPr>
            <w:tcW w:w="1187" w:type="dxa"/>
          </w:tcPr>
          <w:p w14:paraId="6E016A0E" w14:textId="7FD69EF4" w:rsidR="00D43DD6" w:rsidRDefault="00D43DD6" w:rsidP="00D43DD6">
            <w:pPr>
              <w:pStyle w:val="FSTableText"/>
              <w:keepNext/>
              <w:keepLines/>
              <w:jc w:val="right"/>
              <w:rPr>
                <w:b/>
                <w:lang w:bidi="ar-SA"/>
              </w:rPr>
            </w:pPr>
            <w:r>
              <w:rPr>
                <w:b/>
                <w:lang w:bidi="ar-SA"/>
              </w:rPr>
              <w:t>Proposed typical use level (%)</w:t>
            </w:r>
          </w:p>
        </w:tc>
      </w:tr>
      <w:tr w:rsidR="00D43DD6" w14:paraId="73516569" w14:textId="0C452D7C" w:rsidTr="00523ACD">
        <w:tc>
          <w:tcPr>
            <w:tcW w:w="1758" w:type="dxa"/>
          </w:tcPr>
          <w:p w14:paraId="0FEF97E5" w14:textId="77777777" w:rsidR="00D43DD6" w:rsidRPr="008B483C" w:rsidRDefault="00D43DD6" w:rsidP="00C56035">
            <w:pPr>
              <w:pStyle w:val="FSTableText"/>
              <w:keepNext/>
              <w:keepLines/>
              <w:rPr>
                <w:lang w:bidi="ar-SA"/>
              </w:rPr>
            </w:pPr>
            <w:r w:rsidRPr="008B483C">
              <w:rPr>
                <w:lang w:bidi="ar-SA"/>
              </w:rPr>
              <w:t>Cereals and cereal products</w:t>
            </w:r>
          </w:p>
        </w:tc>
        <w:tc>
          <w:tcPr>
            <w:tcW w:w="2603" w:type="dxa"/>
          </w:tcPr>
          <w:p w14:paraId="75A2EECD" w14:textId="77777777" w:rsidR="00D43DD6" w:rsidRDefault="00D43DD6" w:rsidP="00C56035">
            <w:pPr>
              <w:pStyle w:val="FSTableText"/>
              <w:keepNext/>
              <w:keepLines/>
              <w:rPr>
                <w:lang w:bidi="ar-SA"/>
              </w:rPr>
            </w:pPr>
            <w:r>
              <w:rPr>
                <w:lang w:bidi="ar-SA"/>
              </w:rPr>
              <w:t>Breads and rolls; doughnuts; cookies; crackers; cakes;</w:t>
            </w:r>
          </w:p>
          <w:p w14:paraId="06B01AAC" w14:textId="77777777" w:rsidR="00D43DD6" w:rsidRDefault="00D43DD6" w:rsidP="00C56035">
            <w:pPr>
              <w:pStyle w:val="FSTableText"/>
              <w:keepNext/>
              <w:keepLines/>
              <w:rPr>
                <w:lang w:bidi="ar-SA"/>
              </w:rPr>
            </w:pPr>
            <w:r>
              <w:rPr>
                <w:lang w:bidi="ar-SA"/>
              </w:rPr>
              <w:t>pies; batters; muffins; cereal and granola bars;</w:t>
            </w:r>
          </w:p>
          <w:p w14:paraId="2CFBF70D" w14:textId="77777777" w:rsidR="00D43DD6" w:rsidRPr="008B483C" w:rsidRDefault="00D43DD6" w:rsidP="00C56035">
            <w:pPr>
              <w:pStyle w:val="FSTableText"/>
              <w:keepNext/>
              <w:keepLines/>
              <w:rPr>
                <w:lang w:bidi="ar-SA"/>
              </w:rPr>
            </w:pPr>
            <w:r>
              <w:rPr>
                <w:lang w:bidi="ar-SA"/>
              </w:rPr>
              <w:t>breakfast cereals</w:t>
            </w:r>
          </w:p>
        </w:tc>
        <w:tc>
          <w:tcPr>
            <w:tcW w:w="2070" w:type="dxa"/>
          </w:tcPr>
          <w:p w14:paraId="59417AE6" w14:textId="77777777" w:rsidR="00D43DD6" w:rsidRPr="008B483C" w:rsidRDefault="00D43DD6" w:rsidP="00C56035">
            <w:pPr>
              <w:pStyle w:val="FSTableText"/>
              <w:keepNext/>
              <w:keepLines/>
              <w:rPr>
                <w:lang w:bidi="ar-SA"/>
              </w:rPr>
            </w:pPr>
            <w:r w:rsidRPr="008B483C">
              <w:rPr>
                <w:lang w:bidi="ar-SA"/>
              </w:rPr>
              <w:t>Hot porridge type cereals, flour, whole single grains (e.g. rice)</w:t>
            </w:r>
          </w:p>
        </w:tc>
        <w:tc>
          <w:tcPr>
            <w:tcW w:w="1442" w:type="dxa"/>
          </w:tcPr>
          <w:p w14:paraId="4014A6D7" w14:textId="77777777" w:rsidR="00D43DD6" w:rsidRPr="008B483C" w:rsidRDefault="00D43DD6" w:rsidP="00C56035">
            <w:pPr>
              <w:pStyle w:val="FSTableText"/>
              <w:keepNext/>
              <w:keepLines/>
              <w:jc w:val="right"/>
              <w:rPr>
                <w:lang w:bidi="ar-SA"/>
              </w:rPr>
            </w:pPr>
            <w:r w:rsidRPr="008B483C">
              <w:rPr>
                <w:lang w:bidi="ar-SA"/>
              </w:rPr>
              <w:t>5</w:t>
            </w:r>
          </w:p>
        </w:tc>
        <w:tc>
          <w:tcPr>
            <w:tcW w:w="1187" w:type="dxa"/>
          </w:tcPr>
          <w:p w14:paraId="54EEB873" w14:textId="5374C2C7" w:rsidR="00D43DD6" w:rsidRPr="008B483C" w:rsidRDefault="00FC5ADD" w:rsidP="00C56035">
            <w:pPr>
              <w:pStyle w:val="FSTableText"/>
              <w:keepNext/>
              <w:keepLines/>
              <w:jc w:val="right"/>
              <w:rPr>
                <w:lang w:bidi="ar-SA"/>
              </w:rPr>
            </w:pPr>
            <w:r>
              <w:rPr>
                <w:lang w:bidi="ar-SA"/>
              </w:rPr>
              <w:t>3-5</w:t>
            </w:r>
          </w:p>
        </w:tc>
      </w:tr>
      <w:tr w:rsidR="00D43DD6" w14:paraId="3318E46B" w14:textId="47B0F144" w:rsidTr="00523ACD">
        <w:tc>
          <w:tcPr>
            <w:tcW w:w="1758" w:type="dxa"/>
          </w:tcPr>
          <w:p w14:paraId="14AC6F26" w14:textId="77777777" w:rsidR="00D43DD6" w:rsidRPr="008B483C" w:rsidRDefault="00D43DD6" w:rsidP="00C56035">
            <w:pPr>
              <w:pStyle w:val="FSTableText"/>
              <w:keepNext/>
              <w:keepLines/>
              <w:rPr>
                <w:lang w:bidi="ar-SA"/>
              </w:rPr>
            </w:pPr>
            <w:r w:rsidRPr="008B483C">
              <w:rPr>
                <w:lang w:bidi="ar-SA"/>
              </w:rPr>
              <w:t>Beverages</w:t>
            </w:r>
          </w:p>
        </w:tc>
        <w:tc>
          <w:tcPr>
            <w:tcW w:w="2603" w:type="dxa"/>
          </w:tcPr>
          <w:p w14:paraId="3630BDFA" w14:textId="77777777" w:rsidR="00D43DD6" w:rsidRDefault="00D43DD6" w:rsidP="00C56035">
            <w:pPr>
              <w:pStyle w:val="FSTableText"/>
              <w:keepNext/>
              <w:keepLines/>
              <w:rPr>
                <w:lang w:bidi="ar-SA"/>
              </w:rPr>
            </w:pPr>
            <w:r>
              <w:rPr>
                <w:lang w:bidi="ar-SA"/>
              </w:rPr>
              <w:t>Fruit juices and juice blends; soft drinks; energy drinks</w:t>
            </w:r>
          </w:p>
        </w:tc>
        <w:tc>
          <w:tcPr>
            <w:tcW w:w="2070" w:type="dxa"/>
          </w:tcPr>
          <w:p w14:paraId="06F4EA01" w14:textId="77777777" w:rsidR="00D43DD6" w:rsidRPr="008B483C" w:rsidRDefault="00D43DD6" w:rsidP="00C56035">
            <w:pPr>
              <w:pStyle w:val="FSTableText"/>
              <w:keepNext/>
              <w:keepLines/>
              <w:rPr>
                <w:lang w:bidi="ar-SA"/>
              </w:rPr>
            </w:pPr>
            <w:r w:rsidRPr="008B483C">
              <w:rPr>
                <w:lang w:bidi="ar-SA"/>
              </w:rPr>
              <w:t>Waters and flavoured waters, coffee, tea</w:t>
            </w:r>
          </w:p>
        </w:tc>
        <w:tc>
          <w:tcPr>
            <w:tcW w:w="1442" w:type="dxa"/>
          </w:tcPr>
          <w:p w14:paraId="7CC1D518" w14:textId="77777777" w:rsidR="00D43DD6" w:rsidRPr="008B483C" w:rsidRDefault="00D43DD6" w:rsidP="00C56035">
            <w:pPr>
              <w:pStyle w:val="FSTableText"/>
              <w:keepNext/>
              <w:keepLines/>
              <w:jc w:val="right"/>
              <w:rPr>
                <w:lang w:bidi="ar-SA"/>
              </w:rPr>
            </w:pPr>
            <w:r w:rsidRPr="008B483C">
              <w:rPr>
                <w:lang w:bidi="ar-SA"/>
              </w:rPr>
              <w:t>5</w:t>
            </w:r>
          </w:p>
        </w:tc>
        <w:tc>
          <w:tcPr>
            <w:tcW w:w="1187" w:type="dxa"/>
          </w:tcPr>
          <w:p w14:paraId="6A248602" w14:textId="47D39828" w:rsidR="00D43DD6" w:rsidRPr="008B483C" w:rsidRDefault="00FC5ADD" w:rsidP="00C56035">
            <w:pPr>
              <w:pStyle w:val="FSTableText"/>
              <w:keepNext/>
              <w:keepLines/>
              <w:jc w:val="right"/>
              <w:rPr>
                <w:lang w:bidi="ar-SA"/>
              </w:rPr>
            </w:pPr>
            <w:r>
              <w:rPr>
                <w:lang w:bidi="ar-SA"/>
              </w:rPr>
              <w:t>2-5</w:t>
            </w:r>
          </w:p>
        </w:tc>
      </w:tr>
      <w:tr w:rsidR="00D43DD6" w14:paraId="22C7A258" w14:textId="671879DE" w:rsidTr="00523ACD">
        <w:tc>
          <w:tcPr>
            <w:tcW w:w="1758" w:type="dxa"/>
          </w:tcPr>
          <w:p w14:paraId="5CFFA985" w14:textId="77777777" w:rsidR="00D43DD6" w:rsidRPr="008B483C" w:rsidRDefault="00D43DD6" w:rsidP="00C56035">
            <w:pPr>
              <w:pStyle w:val="FSTableText"/>
              <w:keepNext/>
              <w:keepLines/>
              <w:rPr>
                <w:lang w:bidi="ar-SA"/>
              </w:rPr>
            </w:pPr>
            <w:r w:rsidRPr="008B483C">
              <w:rPr>
                <w:lang w:bidi="ar-SA"/>
              </w:rPr>
              <w:t>Dairy products</w:t>
            </w:r>
          </w:p>
        </w:tc>
        <w:tc>
          <w:tcPr>
            <w:tcW w:w="2603" w:type="dxa"/>
          </w:tcPr>
          <w:p w14:paraId="57174C8D" w14:textId="77777777" w:rsidR="00D43DD6" w:rsidRDefault="00D43DD6" w:rsidP="00C56035">
            <w:pPr>
              <w:pStyle w:val="FSTableText"/>
              <w:keepNext/>
              <w:keepLines/>
              <w:rPr>
                <w:lang w:bidi="ar-SA"/>
              </w:rPr>
            </w:pPr>
            <w:r>
              <w:rPr>
                <w:lang w:bidi="ar-SA"/>
              </w:rPr>
              <w:t>Yogurt; cheese and cheese products; desserts and dessert toppings; ice pops and sorbets, jellies</w:t>
            </w:r>
          </w:p>
        </w:tc>
        <w:tc>
          <w:tcPr>
            <w:tcW w:w="2070" w:type="dxa"/>
          </w:tcPr>
          <w:p w14:paraId="33E09304" w14:textId="77777777" w:rsidR="00D43DD6" w:rsidRPr="008B483C" w:rsidRDefault="00D43DD6" w:rsidP="00C56035">
            <w:pPr>
              <w:pStyle w:val="FSTableText"/>
              <w:keepNext/>
              <w:keepLines/>
              <w:rPr>
                <w:lang w:bidi="ar-SA"/>
              </w:rPr>
            </w:pPr>
            <w:r w:rsidRPr="008B483C">
              <w:rPr>
                <w:lang w:bidi="ar-SA"/>
              </w:rPr>
              <w:t>Water based ice blocks</w:t>
            </w:r>
          </w:p>
        </w:tc>
        <w:tc>
          <w:tcPr>
            <w:tcW w:w="1442" w:type="dxa"/>
          </w:tcPr>
          <w:p w14:paraId="4974D978" w14:textId="77777777" w:rsidR="00D43DD6" w:rsidRPr="008B483C" w:rsidRDefault="00D43DD6" w:rsidP="00C56035">
            <w:pPr>
              <w:pStyle w:val="FSTableText"/>
              <w:keepNext/>
              <w:keepLines/>
              <w:jc w:val="right"/>
              <w:rPr>
                <w:lang w:bidi="ar-SA"/>
              </w:rPr>
            </w:pPr>
            <w:r w:rsidRPr="008B483C">
              <w:rPr>
                <w:lang w:bidi="ar-SA"/>
              </w:rPr>
              <w:t>5</w:t>
            </w:r>
          </w:p>
        </w:tc>
        <w:tc>
          <w:tcPr>
            <w:tcW w:w="1187" w:type="dxa"/>
          </w:tcPr>
          <w:p w14:paraId="310817D6" w14:textId="17C0CD5D" w:rsidR="00D43DD6" w:rsidRPr="008B483C" w:rsidRDefault="00FC5ADD" w:rsidP="00C56035">
            <w:pPr>
              <w:pStyle w:val="FSTableText"/>
              <w:keepNext/>
              <w:keepLines/>
              <w:jc w:val="right"/>
              <w:rPr>
                <w:lang w:bidi="ar-SA"/>
              </w:rPr>
            </w:pPr>
            <w:r>
              <w:rPr>
                <w:lang w:bidi="ar-SA"/>
              </w:rPr>
              <w:t>3-5</w:t>
            </w:r>
          </w:p>
        </w:tc>
      </w:tr>
      <w:tr w:rsidR="00D43DD6" w14:paraId="2CAC07DF" w14:textId="45E070CD" w:rsidTr="00523ACD">
        <w:tc>
          <w:tcPr>
            <w:tcW w:w="1758" w:type="dxa"/>
            <w:vMerge w:val="restart"/>
          </w:tcPr>
          <w:p w14:paraId="5FABC3F6" w14:textId="77777777" w:rsidR="00D43DD6" w:rsidRPr="008B483C" w:rsidRDefault="00D43DD6" w:rsidP="00C56035">
            <w:pPr>
              <w:pStyle w:val="FSTableText"/>
              <w:keepNext/>
              <w:keepLines/>
              <w:rPr>
                <w:lang w:bidi="ar-SA"/>
              </w:rPr>
            </w:pPr>
            <w:r w:rsidRPr="008B483C">
              <w:rPr>
                <w:lang w:bidi="ar-SA"/>
              </w:rPr>
              <w:t>Other</w:t>
            </w:r>
          </w:p>
        </w:tc>
        <w:tc>
          <w:tcPr>
            <w:tcW w:w="2603" w:type="dxa"/>
          </w:tcPr>
          <w:p w14:paraId="5B89A4D5" w14:textId="184B9126" w:rsidR="00D43DD6" w:rsidRPr="008B483C" w:rsidRDefault="00D43DD6" w:rsidP="00C56035">
            <w:pPr>
              <w:pStyle w:val="FSTableText"/>
              <w:keepNext/>
              <w:keepLines/>
              <w:rPr>
                <w:lang w:bidi="ar-SA"/>
              </w:rPr>
            </w:pPr>
            <w:r>
              <w:rPr>
                <w:lang w:bidi="ar-SA"/>
              </w:rPr>
              <w:t>Ready-to-eat meals, soups, and pasta</w:t>
            </w:r>
            <w:r w:rsidR="003E587A">
              <w:rPr>
                <w:lang w:bidi="ar-SA"/>
              </w:rPr>
              <w:t>. Extruded snacks including cookies</w:t>
            </w:r>
          </w:p>
        </w:tc>
        <w:tc>
          <w:tcPr>
            <w:tcW w:w="2070" w:type="dxa"/>
          </w:tcPr>
          <w:p w14:paraId="4A8571DE" w14:textId="77777777" w:rsidR="00D43DD6" w:rsidRPr="008B483C" w:rsidRDefault="00D43DD6" w:rsidP="00C56035">
            <w:pPr>
              <w:pStyle w:val="FSTableText"/>
              <w:keepNext/>
              <w:keepLines/>
              <w:rPr>
                <w:lang w:bidi="ar-SA"/>
              </w:rPr>
            </w:pPr>
          </w:p>
        </w:tc>
        <w:tc>
          <w:tcPr>
            <w:tcW w:w="1442" w:type="dxa"/>
          </w:tcPr>
          <w:p w14:paraId="7C6E4077" w14:textId="77777777" w:rsidR="00D43DD6" w:rsidRPr="008B483C" w:rsidRDefault="00D43DD6" w:rsidP="00C56035">
            <w:pPr>
              <w:pStyle w:val="FSTableText"/>
              <w:keepNext/>
              <w:keepLines/>
              <w:jc w:val="right"/>
              <w:rPr>
                <w:lang w:bidi="ar-SA"/>
              </w:rPr>
            </w:pPr>
            <w:r w:rsidRPr="008B483C">
              <w:rPr>
                <w:lang w:bidi="ar-SA"/>
              </w:rPr>
              <w:t>10</w:t>
            </w:r>
          </w:p>
        </w:tc>
        <w:tc>
          <w:tcPr>
            <w:tcW w:w="1187" w:type="dxa"/>
          </w:tcPr>
          <w:p w14:paraId="4E544E26" w14:textId="5EF10BE6" w:rsidR="00D43DD6" w:rsidRPr="008B483C" w:rsidRDefault="00FC5ADD" w:rsidP="00C56035">
            <w:pPr>
              <w:pStyle w:val="FSTableText"/>
              <w:keepNext/>
              <w:keepLines/>
              <w:jc w:val="right"/>
              <w:rPr>
                <w:lang w:bidi="ar-SA"/>
              </w:rPr>
            </w:pPr>
            <w:r>
              <w:rPr>
                <w:lang w:bidi="ar-SA"/>
              </w:rPr>
              <w:t>5</w:t>
            </w:r>
          </w:p>
        </w:tc>
      </w:tr>
      <w:tr w:rsidR="00D43DD6" w14:paraId="0E0FD3D2" w14:textId="12FD1ED3" w:rsidTr="00523ACD">
        <w:tc>
          <w:tcPr>
            <w:tcW w:w="1758" w:type="dxa"/>
            <w:vMerge/>
          </w:tcPr>
          <w:p w14:paraId="7BD6FA03" w14:textId="77777777" w:rsidR="00D43DD6" w:rsidRPr="008B483C" w:rsidRDefault="00D43DD6" w:rsidP="00C56035">
            <w:pPr>
              <w:pStyle w:val="FSTableText"/>
              <w:keepNext/>
              <w:keepLines/>
              <w:rPr>
                <w:lang w:bidi="ar-SA"/>
              </w:rPr>
            </w:pPr>
          </w:p>
        </w:tc>
        <w:tc>
          <w:tcPr>
            <w:tcW w:w="2603" w:type="dxa"/>
          </w:tcPr>
          <w:p w14:paraId="01424D9D" w14:textId="77777777" w:rsidR="00D43DD6" w:rsidRPr="008B483C" w:rsidRDefault="00D43DD6" w:rsidP="00C56035">
            <w:pPr>
              <w:pStyle w:val="FSTableText"/>
              <w:keepNext/>
              <w:keepLines/>
              <w:rPr>
                <w:lang w:bidi="ar-SA"/>
              </w:rPr>
            </w:pPr>
            <w:r>
              <w:rPr>
                <w:lang w:bidi="ar-SA"/>
              </w:rPr>
              <w:t>Meat analogues</w:t>
            </w:r>
          </w:p>
        </w:tc>
        <w:tc>
          <w:tcPr>
            <w:tcW w:w="2070" w:type="dxa"/>
          </w:tcPr>
          <w:p w14:paraId="67A831B6" w14:textId="77777777" w:rsidR="00D43DD6" w:rsidRPr="008B483C" w:rsidRDefault="00D43DD6" w:rsidP="00C56035">
            <w:pPr>
              <w:pStyle w:val="FSTableText"/>
              <w:keepNext/>
              <w:keepLines/>
              <w:rPr>
                <w:lang w:bidi="ar-SA"/>
              </w:rPr>
            </w:pPr>
          </w:p>
        </w:tc>
        <w:tc>
          <w:tcPr>
            <w:tcW w:w="1442" w:type="dxa"/>
          </w:tcPr>
          <w:p w14:paraId="3A87FD5E" w14:textId="2609534D" w:rsidR="00D43DD6" w:rsidRPr="008B483C" w:rsidRDefault="00D43DD6" w:rsidP="00A512D0">
            <w:pPr>
              <w:pStyle w:val="FSTableText"/>
              <w:keepNext/>
              <w:keepLines/>
              <w:jc w:val="right"/>
              <w:rPr>
                <w:lang w:bidi="ar-SA"/>
              </w:rPr>
            </w:pPr>
            <w:r w:rsidRPr="008B483C">
              <w:rPr>
                <w:lang w:bidi="ar-SA"/>
              </w:rPr>
              <w:t>30</w:t>
            </w:r>
          </w:p>
        </w:tc>
        <w:tc>
          <w:tcPr>
            <w:tcW w:w="1187" w:type="dxa"/>
          </w:tcPr>
          <w:p w14:paraId="1394452B" w14:textId="0AFE6ACF" w:rsidR="00D43DD6" w:rsidRPr="008B483C" w:rsidRDefault="00FC5ADD" w:rsidP="00A512D0">
            <w:pPr>
              <w:pStyle w:val="FSTableText"/>
              <w:keepNext/>
              <w:keepLines/>
              <w:jc w:val="right"/>
              <w:rPr>
                <w:lang w:bidi="ar-SA"/>
              </w:rPr>
            </w:pPr>
            <w:r>
              <w:rPr>
                <w:lang w:bidi="ar-SA"/>
              </w:rPr>
              <w:t>5</w:t>
            </w:r>
          </w:p>
        </w:tc>
      </w:tr>
      <w:tr w:rsidR="00D43DD6" w14:paraId="1685FE4C" w14:textId="10FD9F87" w:rsidTr="00523ACD">
        <w:tc>
          <w:tcPr>
            <w:tcW w:w="1758" w:type="dxa"/>
            <w:vMerge/>
          </w:tcPr>
          <w:p w14:paraId="103DDC82" w14:textId="77777777" w:rsidR="00D43DD6" w:rsidRPr="008B483C" w:rsidRDefault="00D43DD6" w:rsidP="00C56035">
            <w:pPr>
              <w:pStyle w:val="FSTableText"/>
              <w:keepNext/>
              <w:keepLines/>
              <w:rPr>
                <w:lang w:bidi="ar-SA"/>
              </w:rPr>
            </w:pPr>
          </w:p>
        </w:tc>
        <w:tc>
          <w:tcPr>
            <w:tcW w:w="2603" w:type="dxa"/>
          </w:tcPr>
          <w:p w14:paraId="4EF7828D" w14:textId="304C1C7C" w:rsidR="00D43DD6" w:rsidRPr="008B483C" w:rsidRDefault="00D43DD6" w:rsidP="00D03D79">
            <w:pPr>
              <w:pStyle w:val="FSTableText"/>
              <w:keepNext/>
              <w:keepLines/>
              <w:rPr>
                <w:lang w:bidi="ar-SA"/>
              </w:rPr>
            </w:pPr>
            <w:r>
              <w:rPr>
                <w:lang w:bidi="ar-SA"/>
              </w:rPr>
              <w:t>Protein-enriched, bars, and pasta; protein-enriched</w:t>
            </w:r>
            <w:r w:rsidR="00D03D79">
              <w:rPr>
                <w:lang w:bidi="ar-SA"/>
              </w:rPr>
              <w:t xml:space="preserve"> </w:t>
            </w:r>
            <w:r>
              <w:rPr>
                <w:lang w:bidi="ar-SA"/>
              </w:rPr>
              <w:t>powder and ready-to-drink beverages; energy bars</w:t>
            </w:r>
          </w:p>
        </w:tc>
        <w:tc>
          <w:tcPr>
            <w:tcW w:w="2070" w:type="dxa"/>
          </w:tcPr>
          <w:p w14:paraId="085833CB" w14:textId="77777777" w:rsidR="00D43DD6" w:rsidRPr="008B483C" w:rsidRDefault="00D43DD6" w:rsidP="00C56035">
            <w:pPr>
              <w:pStyle w:val="FSTableText"/>
              <w:keepNext/>
              <w:keepLines/>
              <w:rPr>
                <w:lang w:bidi="ar-SA"/>
              </w:rPr>
            </w:pPr>
          </w:p>
        </w:tc>
        <w:tc>
          <w:tcPr>
            <w:tcW w:w="1442" w:type="dxa"/>
          </w:tcPr>
          <w:p w14:paraId="3AC79AAF" w14:textId="77777777" w:rsidR="00D43DD6" w:rsidRPr="008B483C" w:rsidRDefault="00D43DD6" w:rsidP="00C56035">
            <w:pPr>
              <w:pStyle w:val="FSTableText"/>
              <w:keepNext/>
              <w:keepLines/>
              <w:jc w:val="right"/>
              <w:rPr>
                <w:lang w:bidi="ar-SA"/>
              </w:rPr>
            </w:pPr>
            <w:r w:rsidRPr="008B483C">
              <w:rPr>
                <w:lang w:bidi="ar-SA"/>
              </w:rPr>
              <w:t>30</w:t>
            </w:r>
          </w:p>
        </w:tc>
        <w:tc>
          <w:tcPr>
            <w:tcW w:w="1187" w:type="dxa"/>
          </w:tcPr>
          <w:p w14:paraId="6CDDCAD8" w14:textId="546D0B24" w:rsidR="00D43DD6" w:rsidRPr="008B483C" w:rsidRDefault="00FC5ADD" w:rsidP="00C56035">
            <w:pPr>
              <w:pStyle w:val="FSTableText"/>
              <w:keepNext/>
              <w:keepLines/>
              <w:jc w:val="right"/>
              <w:rPr>
                <w:lang w:bidi="ar-SA"/>
              </w:rPr>
            </w:pPr>
            <w:r>
              <w:rPr>
                <w:lang w:bidi="ar-SA"/>
              </w:rPr>
              <w:t>10</w:t>
            </w:r>
          </w:p>
        </w:tc>
      </w:tr>
    </w:tbl>
    <w:p w14:paraId="627F8ECB" w14:textId="2845EA3A" w:rsidR="00B90FA4" w:rsidRPr="008B4B97" w:rsidRDefault="008B483C" w:rsidP="00C56035">
      <w:pPr>
        <w:keepNext/>
        <w:keepLines/>
        <w:autoSpaceDE w:val="0"/>
        <w:autoSpaceDN w:val="0"/>
        <w:adjustRightInd w:val="0"/>
        <w:rPr>
          <w:rFonts w:cs="Arial"/>
          <w:color w:val="000000"/>
          <w:sz w:val="18"/>
        </w:rPr>
      </w:pPr>
      <w:r w:rsidRPr="008B4B97">
        <w:rPr>
          <w:rFonts w:cs="Arial"/>
          <w:color w:val="000000"/>
          <w:sz w:val="18"/>
        </w:rPr>
        <w:t>* Applic</w:t>
      </w:r>
      <w:r w:rsidR="00B90FA4" w:rsidRPr="008B4B97">
        <w:rPr>
          <w:rFonts w:cs="Arial"/>
          <w:color w:val="000000"/>
          <w:sz w:val="18"/>
        </w:rPr>
        <w:t>ant specified and FSANZ assumed</w:t>
      </w:r>
      <w:r w:rsidR="00A512D0" w:rsidRPr="008B4B97">
        <w:rPr>
          <w:rFonts w:cs="Arial"/>
          <w:color w:val="000000"/>
          <w:sz w:val="18"/>
        </w:rPr>
        <w:t>.</w:t>
      </w:r>
    </w:p>
    <w:p w14:paraId="79CB78EB" w14:textId="5D27B24B" w:rsidR="008B483C" w:rsidRDefault="00A01356" w:rsidP="00B23CA5">
      <w:pPr>
        <w:pStyle w:val="Heading4"/>
      </w:pPr>
      <w:r>
        <w:t>6</w:t>
      </w:r>
      <w:r w:rsidR="00460B30">
        <w:t>.</w:t>
      </w:r>
      <w:r w:rsidR="008B483C">
        <w:t>2</w:t>
      </w:r>
      <w:r w:rsidR="00B24C75">
        <w:t>.5.2</w:t>
      </w:r>
      <w:r w:rsidR="002B7DEA">
        <w:tab/>
      </w:r>
      <w:r w:rsidR="00B24C75">
        <w:t xml:space="preserve">Concentration data for </w:t>
      </w:r>
      <w:r w:rsidR="00441143">
        <w:t>e</w:t>
      </w:r>
      <w:r w:rsidR="008B483C">
        <w:t>rucic acid and glucosinolates</w:t>
      </w:r>
    </w:p>
    <w:p w14:paraId="248C658E" w14:textId="0D7C138D" w:rsidR="005B614B" w:rsidRPr="00BA1BF6" w:rsidRDefault="008B483C" w:rsidP="003A0A53">
      <w:r w:rsidRPr="00BA1BF6">
        <w:t xml:space="preserve">Table </w:t>
      </w:r>
      <w:r w:rsidR="009822B6" w:rsidRPr="00BA1BF6">
        <w:t>6</w:t>
      </w:r>
      <w:r w:rsidR="00460B30" w:rsidRPr="00BA1BF6">
        <w:t>.</w:t>
      </w:r>
      <w:r w:rsidRPr="00BA1BF6">
        <w:t xml:space="preserve">2 shows </w:t>
      </w:r>
      <w:r w:rsidR="00B169D0" w:rsidRPr="00BA1BF6">
        <w:t xml:space="preserve">concentrations of </w:t>
      </w:r>
      <w:r w:rsidR="000E44C2" w:rsidRPr="00BA1BF6">
        <w:t xml:space="preserve">erucic acid and </w:t>
      </w:r>
      <w:r w:rsidRPr="00BA1BF6">
        <w:t xml:space="preserve">glucosinolates in the selected </w:t>
      </w:r>
      <w:r w:rsidR="00DA0240" w:rsidRPr="00DA0240">
        <w:rPr>
          <w:i/>
          <w:lang w:bidi="ar-SA"/>
        </w:rPr>
        <w:t>Brassica</w:t>
      </w:r>
      <w:r w:rsidR="00DA0240" w:rsidRPr="00BA1BF6">
        <w:t xml:space="preserve"> </w:t>
      </w:r>
      <w:r w:rsidRPr="00BA1BF6">
        <w:t>vegetables</w:t>
      </w:r>
      <w:r w:rsidR="00EF7054" w:rsidRPr="00BA1BF6">
        <w:t xml:space="preserve">. </w:t>
      </w:r>
      <w:r w:rsidRPr="00BA1BF6">
        <w:t xml:space="preserve">The </w:t>
      </w:r>
      <w:r w:rsidR="000E44C2" w:rsidRPr="00BA1BF6">
        <w:t xml:space="preserve">erucic acid and </w:t>
      </w:r>
      <w:r w:rsidRPr="00BA1BF6">
        <w:t>glucosinolates concentration</w:t>
      </w:r>
      <w:r w:rsidR="00B169D0" w:rsidRPr="00BA1BF6">
        <w:t>s</w:t>
      </w:r>
      <w:r w:rsidRPr="00BA1BF6">
        <w:t xml:space="preserve"> of </w:t>
      </w:r>
      <w:r w:rsidR="000E44C2" w:rsidRPr="00BA1BF6">
        <w:t xml:space="preserve">8 mg/kg </w:t>
      </w:r>
      <w:r w:rsidR="000E44C2">
        <w:t xml:space="preserve">and </w:t>
      </w:r>
      <w:r w:rsidRPr="00BA1BF6">
        <w:t xml:space="preserve">646 mg/kg </w:t>
      </w:r>
      <w:r w:rsidR="00B169D0" w:rsidRPr="00BA1BF6">
        <w:t xml:space="preserve">respectively </w:t>
      </w:r>
      <w:r w:rsidRPr="00BA1BF6">
        <w:t xml:space="preserve">in broccoli on fresh weight basis were </w:t>
      </w:r>
      <w:r w:rsidR="009E7BD1" w:rsidRPr="00BA1BF6">
        <w:t xml:space="preserve">selected as representative of </w:t>
      </w:r>
      <w:r w:rsidR="00DA0240" w:rsidRPr="00DA0240">
        <w:rPr>
          <w:i/>
          <w:lang w:bidi="ar-SA"/>
        </w:rPr>
        <w:t>Brassica</w:t>
      </w:r>
      <w:r w:rsidR="00DA0240" w:rsidRPr="00BA1BF6">
        <w:t xml:space="preserve"> </w:t>
      </w:r>
      <w:r w:rsidR="009E7BD1" w:rsidRPr="00BA1BF6">
        <w:t xml:space="preserve">vegetables and </w:t>
      </w:r>
      <w:r w:rsidR="00B169D0" w:rsidRPr="00BA1BF6">
        <w:t>used</w:t>
      </w:r>
      <w:r w:rsidRPr="00BA1BF6">
        <w:t xml:space="preserve"> in</w:t>
      </w:r>
      <w:r w:rsidR="00B169D0" w:rsidRPr="00BA1BF6">
        <w:t xml:space="preserve"> the</w:t>
      </w:r>
      <w:r w:rsidRPr="00BA1BF6">
        <w:t xml:space="preserve"> dietary exposure calculations</w:t>
      </w:r>
      <w:r w:rsidR="000E2E38" w:rsidRPr="00BA1BF6">
        <w:t>.</w:t>
      </w:r>
    </w:p>
    <w:p w14:paraId="17E1DA75" w14:textId="77777777" w:rsidR="00B169D0" w:rsidRPr="00BA1BF6" w:rsidRDefault="00B169D0" w:rsidP="00B169D0"/>
    <w:p w14:paraId="4E867579" w14:textId="3CA847ED" w:rsidR="00B169D0" w:rsidRPr="00BA1BF6" w:rsidRDefault="00B169D0" w:rsidP="00B169D0">
      <w:r w:rsidRPr="00BA1BF6">
        <w:t xml:space="preserve">Due to the small amount of concentration data available, there were not enough data points to enable a dietary exposure assessment to be undertaken that separated out each individual type of </w:t>
      </w:r>
      <w:r w:rsidR="00DA0240" w:rsidRPr="00DA0240">
        <w:rPr>
          <w:i/>
          <w:lang w:bidi="ar-SA"/>
        </w:rPr>
        <w:t>Brassica</w:t>
      </w:r>
      <w:r w:rsidRPr="00BA1BF6">
        <w:t xml:space="preserve">. Therefore, one representative concentration was selected and used to represent all </w:t>
      </w:r>
      <w:r w:rsidR="00DA0240" w:rsidRPr="00DA0240">
        <w:rPr>
          <w:i/>
          <w:lang w:bidi="ar-SA"/>
        </w:rPr>
        <w:t>Brassica</w:t>
      </w:r>
      <w:r w:rsidR="00DA0240">
        <w:rPr>
          <w:i/>
          <w:lang w:bidi="ar-SA"/>
        </w:rPr>
        <w:t>s</w:t>
      </w:r>
      <w:r w:rsidRPr="00BA1BF6">
        <w:t xml:space="preserve">. Similarly, consumption data were not separated by type of </w:t>
      </w:r>
      <w:r w:rsidR="00DA0240" w:rsidRPr="00DA0240">
        <w:rPr>
          <w:i/>
          <w:lang w:bidi="ar-SA"/>
        </w:rPr>
        <w:t>Brassica</w:t>
      </w:r>
      <w:r w:rsidRPr="00BA1BF6">
        <w:t xml:space="preserve">, and were extracted for all </w:t>
      </w:r>
      <w:r w:rsidR="00DA0240" w:rsidRPr="00DA0240">
        <w:rPr>
          <w:i/>
          <w:lang w:bidi="ar-SA"/>
        </w:rPr>
        <w:t>Brassica</w:t>
      </w:r>
      <w:r w:rsidR="00DA0240">
        <w:rPr>
          <w:i/>
          <w:lang w:bidi="ar-SA"/>
        </w:rPr>
        <w:t>s</w:t>
      </w:r>
      <w:r w:rsidR="00DA0240" w:rsidRPr="00BA1BF6">
        <w:t xml:space="preserve"> </w:t>
      </w:r>
      <w:r w:rsidRPr="00BA1BF6">
        <w:t>combined to allow combination with the concentration data.</w:t>
      </w:r>
    </w:p>
    <w:p w14:paraId="727A36EE" w14:textId="77777777" w:rsidR="00B169D0" w:rsidRPr="00BA1BF6" w:rsidRDefault="00B169D0" w:rsidP="003A0A53"/>
    <w:p w14:paraId="7A038623" w14:textId="60F44F7E" w:rsidR="003A0A53" w:rsidRPr="001750EE" w:rsidRDefault="003A0A53" w:rsidP="00FC5ADD">
      <w:pPr>
        <w:keepNext/>
        <w:keepLines/>
        <w:rPr>
          <w:rFonts w:cs="Arial"/>
          <w:b/>
          <w:i/>
        </w:rPr>
      </w:pPr>
      <w:r w:rsidRPr="001750EE">
        <w:rPr>
          <w:rFonts w:cs="Arial"/>
          <w:b/>
          <w:i/>
        </w:rPr>
        <w:t>Table</w:t>
      </w:r>
      <w:r w:rsidR="00460B30" w:rsidRPr="001750EE">
        <w:rPr>
          <w:rFonts w:cs="Arial"/>
          <w:b/>
          <w:i/>
        </w:rPr>
        <w:t xml:space="preserve"> </w:t>
      </w:r>
      <w:r w:rsidR="009822B6" w:rsidRPr="001750EE">
        <w:rPr>
          <w:rFonts w:cs="Arial"/>
          <w:b/>
          <w:i/>
        </w:rPr>
        <w:t>6.</w:t>
      </w:r>
      <w:r w:rsidR="008B483C" w:rsidRPr="001750EE">
        <w:rPr>
          <w:rFonts w:cs="Arial"/>
          <w:b/>
          <w:i/>
        </w:rPr>
        <w:t>2</w:t>
      </w:r>
      <w:r w:rsidR="001750EE">
        <w:rPr>
          <w:rFonts w:cs="Arial"/>
          <w:b/>
          <w:i/>
        </w:rPr>
        <w:tab/>
      </w:r>
      <w:r w:rsidR="000E44C2" w:rsidRPr="001750EE">
        <w:rPr>
          <w:rFonts w:cs="Arial"/>
          <w:i/>
        </w:rPr>
        <w:t>Erucic acid and glucosinolates</w:t>
      </w:r>
      <w:r w:rsidRPr="001750EE">
        <w:rPr>
          <w:rFonts w:cs="Arial"/>
          <w:i/>
        </w:rPr>
        <w:t xml:space="preserve"> </w:t>
      </w:r>
      <w:r w:rsidR="004339CE">
        <w:rPr>
          <w:rFonts w:cs="Arial"/>
          <w:i/>
        </w:rPr>
        <w:t xml:space="preserve">concentration data in selected </w:t>
      </w:r>
      <w:r w:rsidR="00DA0240" w:rsidRPr="00DA0240">
        <w:rPr>
          <w:i/>
          <w:lang w:bidi="ar-SA"/>
        </w:rPr>
        <w:t>Brassica</w:t>
      </w:r>
      <w:r w:rsidR="00DA0240" w:rsidRPr="001750EE">
        <w:rPr>
          <w:rFonts w:cs="Arial"/>
          <w:i/>
        </w:rPr>
        <w:t xml:space="preserve"> </w:t>
      </w:r>
      <w:r w:rsidRPr="001750EE">
        <w:rPr>
          <w:rFonts w:cs="Arial"/>
          <w:i/>
        </w:rPr>
        <w:t>vegetable</w:t>
      </w:r>
      <w:r w:rsidR="00441143" w:rsidRPr="001750EE">
        <w:rPr>
          <w:rFonts w:cs="Arial"/>
          <w:i/>
        </w:rPr>
        <w:t>s</w:t>
      </w:r>
      <w:r w:rsidR="00B169D0" w:rsidRPr="001750EE">
        <w:rPr>
          <w:rFonts w:cs="Arial"/>
          <w:i/>
        </w:rPr>
        <w:t xml:space="preserve"> used </w:t>
      </w:r>
      <w:r w:rsidR="00BA1BF6" w:rsidRPr="001750EE">
        <w:rPr>
          <w:rFonts w:cs="Arial"/>
          <w:i/>
        </w:rPr>
        <w:t>for the dietary exposure assess</w:t>
      </w:r>
      <w:r w:rsidR="00B169D0" w:rsidRPr="001750EE">
        <w:rPr>
          <w:rFonts w:cs="Arial"/>
          <w:i/>
        </w:rPr>
        <w:t>ment</w:t>
      </w:r>
    </w:p>
    <w:p w14:paraId="15AE3B95" w14:textId="77777777" w:rsidR="001750EE" w:rsidRPr="00EF7054" w:rsidRDefault="001750EE" w:rsidP="00FC5ADD">
      <w:pPr>
        <w:keepNext/>
        <w:keepLines/>
      </w:pPr>
    </w:p>
    <w:tbl>
      <w:tblPr>
        <w:tblW w:w="9065" w:type="dxa"/>
        <w:tblInd w:w="-5" w:type="dxa"/>
        <w:tblLook w:val="04A0" w:firstRow="1" w:lastRow="0" w:firstColumn="1" w:lastColumn="0" w:noHBand="0" w:noVBand="1"/>
        <w:tblCaption w:val="Glucosinolates and Erucic acid concentration data in the selected Brassica vegetable"/>
        <w:tblDescription w:val="Table 6.2 has 6 columns. The first column is the component or food chemical, the second column list the food source of the food chemical, the third column is number of samples, the fourth column is concentration in mg/kg fresh weight, the fifth column lists the source of the data and the last column is the comment or reasons for selecting the data"/>
      </w:tblPr>
      <w:tblGrid>
        <w:gridCol w:w="1701"/>
        <w:gridCol w:w="1131"/>
        <w:gridCol w:w="1162"/>
        <w:gridCol w:w="1713"/>
        <w:gridCol w:w="1342"/>
        <w:gridCol w:w="2016"/>
      </w:tblGrid>
      <w:tr w:rsidR="003A0A53" w:rsidRPr="00EF7054" w14:paraId="6AF315F5" w14:textId="77777777" w:rsidTr="005C66C4">
        <w:trPr>
          <w:trHeight w:val="570"/>
        </w:trPr>
        <w:tc>
          <w:tcPr>
            <w:tcW w:w="1701" w:type="dxa"/>
            <w:tcBorders>
              <w:top w:val="single" w:sz="4" w:space="0" w:color="auto"/>
              <w:left w:val="single" w:sz="4" w:space="0" w:color="auto"/>
              <w:bottom w:val="single" w:sz="4" w:space="0" w:color="auto"/>
              <w:right w:val="single" w:sz="4" w:space="0" w:color="auto"/>
            </w:tcBorders>
            <w:vAlign w:val="bottom"/>
          </w:tcPr>
          <w:p w14:paraId="743DDDA1" w14:textId="77777777" w:rsidR="003A0A53" w:rsidRPr="00EF7054" w:rsidRDefault="003A0A53" w:rsidP="00FC5ADD">
            <w:pPr>
              <w:keepNext/>
              <w:keepLines/>
              <w:rPr>
                <w:rFonts w:cs="Arial"/>
                <w:b/>
                <w:color w:val="000000"/>
                <w:lang w:eastAsia="en-GB"/>
              </w:rPr>
            </w:pPr>
            <w:r w:rsidRPr="00EF7054">
              <w:rPr>
                <w:rFonts w:cs="Arial"/>
                <w:b/>
                <w:color w:val="000000"/>
                <w:lang w:eastAsia="en-GB"/>
              </w:rPr>
              <w:t>Components</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C5F81" w14:textId="795E846A" w:rsidR="003A0A53" w:rsidRPr="00EF7054" w:rsidRDefault="003A0A53" w:rsidP="00FC5ADD">
            <w:pPr>
              <w:keepNext/>
              <w:keepLines/>
              <w:rPr>
                <w:rFonts w:cs="Arial"/>
                <w:b/>
                <w:color w:val="000000"/>
                <w:lang w:eastAsia="en-GB"/>
              </w:rPr>
            </w:pPr>
            <w:r w:rsidRPr="00EF7054">
              <w:rPr>
                <w:rFonts w:cs="Arial"/>
                <w:b/>
                <w:color w:val="000000"/>
                <w:lang w:eastAsia="en-GB"/>
              </w:rPr>
              <w:t>Food</w:t>
            </w:r>
          </w:p>
        </w:tc>
        <w:tc>
          <w:tcPr>
            <w:tcW w:w="1162" w:type="dxa"/>
            <w:tcBorders>
              <w:top w:val="single" w:sz="4" w:space="0" w:color="auto"/>
              <w:left w:val="nil"/>
              <w:bottom w:val="single" w:sz="4" w:space="0" w:color="auto"/>
              <w:right w:val="single" w:sz="4" w:space="0" w:color="auto"/>
            </w:tcBorders>
            <w:shd w:val="clear" w:color="auto" w:fill="auto"/>
            <w:noWrap/>
            <w:vAlign w:val="bottom"/>
          </w:tcPr>
          <w:p w14:paraId="4C988EA3" w14:textId="52A65B32" w:rsidR="003A0A53" w:rsidRPr="00EF7054" w:rsidRDefault="004F5B81" w:rsidP="00FC5ADD">
            <w:pPr>
              <w:keepNext/>
              <w:keepLines/>
              <w:jc w:val="right"/>
              <w:rPr>
                <w:rFonts w:cs="Arial"/>
                <w:b/>
                <w:color w:val="000000"/>
                <w:lang w:eastAsia="en-GB"/>
              </w:rPr>
            </w:pPr>
            <w:r>
              <w:rPr>
                <w:rFonts w:cs="Arial"/>
                <w:b/>
                <w:color w:val="000000"/>
                <w:lang w:eastAsia="en-GB"/>
              </w:rPr>
              <w:t>Number of s</w:t>
            </w:r>
            <w:r w:rsidR="003A0A53" w:rsidRPr="00EF7054">
              <w:rPr>
                <w:rFonts w:cs="Arial"/>
                <w:b/>
                <w:color w:val="000000"/>
                <w:lang w:eastAsia="en-GB"/>
              </w:rPr>
              <w:t>ample</w:t>
            </w:r>
            <w:r>
              <w:rPr>
                <w:rFonts w:cs="Arial"/>
                <w:b/>
                <w:color w:val="000000"/>
                <w:lang w:eastAsia="en-GB"/>
              </w:rPr>
              <w:t>s</w:t>
            </w:r>
          </w:p>
        </w:tc>
        <w:tc>
          <w:tcPr>
            <w:tcW w:w="1713" w:type="dxa"/>
            <w:tcBorders>
              <w:top w:val="single" w:sz="4" w:space="0" w:color="auto"/>
              <w:left w:val="nil"/>
              <w:bottom w:val="single" w:sz="4" w:space="0" w:color="auto"/>
              <w:right w:val="single" w:sz="4" w:space="0" w:color="auto"/>
            </w:tcBorders>
            <w:shd w:val="clear" w:color="auto" w:fill="auto"/>
            <w:noWrap/>
            <w:vAlign w:val="bottom"/>
          </w:tcPr>
          <w:p w14:paraId="13A4D497" w14:textId="55EC9C94" w:rsidR="003A0A53" w:rsidRPr="00EF7054" w:rsidRDefault="004F5B81" w:rsidP="00FC5ADD">
            <w:pPr>
              <w:keepNext/>
              <w:keepLines/>
              <w:jc w:val="right"/>
              <w:rPr>
                <w:rFonts w:cs="Arial"/>
                <w:b/>
                <w:color w:val="000000"/>
                <w:lang w:eastAsia="en-GB"/>
              </w:rPr>
            </w:pPr>
            <w:r>
              <w:rPr>
                <w:rFonts w:cs="Arial"/>
                <w:b/>
                <w:color w:val="000000"/>
                <w:lang w:eastAsia="en-GB"/>
              </w:rPr>
              <w:t>Concentration (</w:t>
            </w:r>
            <w:r w:rsidR="003A0A53" w:rsidRPr="00EF7054">
              <w:rPr>
                <w:rFonts w:cs="Arial"/>
                <w:b/>
                <w:color w:val="000000"/>
                <w:lang w:eastAsia="en-GB"/>
              </w:rPr>
              <w:t>mg/kg fw</w:t>
            </w:r>
            <w:r>
              <w:rPr>
                <w:rFonts w:cs="Arial"/>
                <w:b/>
                <w:color w:val="000000"/>
                <w:lang w:eastAsia="en-GB"/>
              </w:rPr>
              <w:t>)</w:t>
            </w:r>
          </w:p>
        </w:tc>
        <w:tc>
          <w:tcPr>
            <w:tcW w:w="1342" w:type="dxa"/>
            <w:tcBorders>
              <w:top w:val="single" w:sz="4" w:space="0" w:color="auto"/>
              <w:left w:val="nil"/>
              <w:bottom w:val="single" w:sz="4" w:space="0" w:color="auto"/>
              <w:right w:val="single" w:sz="4" w:space="0" w:color="auto"/>
            </w:tcBorders>
            <w:shd w:val="clear" w:color="auto" w:fill="auto"/>
            <w:noWrap/>
            <w:vAlign w:val="bottom"/>
          </w:tcPr>
          <w:p w14:paraId="357C625F" w14:textId="77777777" w:rsidR="003A0A53" w:rsidRPr="00EF7054" w:rsidRDefault="003A0A53" w:rsidP="00FC5ADD">
            <w:pPr>
              <w:keepNext/>
              <w:keepLines/>
              <w:rPr>
                <w:rFonts w:cs="Arial"/>
                <w:b/>
                <w:color w:val="000000"/>
                <w:lang w:eastAsia="en-GB"/>
              </w:rPr>
            </w:pPr>
            <w:r w:rsidRPr="00EF7054">
              <w:rPr>
                <w:rFonts w:cs="Arial"/>
                <w:b/>
                <w:color w:val="000000"/>
                <w:lang w:eastAsia="en-GB"/>
              </w:rPr>
              <w:t>Source</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14:paraId="7FD6B538" w14:textId="77777777" w:rsidR="003A0A53" w:rsidRPr="00EF7054" w:rsidRDefault="003A0A53" w:rsidP="00FC5ADD">
            <w:pPr>
              <w:keepNext/>
              <w:keepLines/>
              <w:rPr>
                <w:rFonts w:cs="Arial"/>
                <w:b/>
                <w:color w:val="000000"/>
                <w:lang w:eastAsia="en-GB"/>
              </w:rPr>
            </w:pPr>
            <w:r w:rsidRPr="00EF7054">
              <w:rPr>
                <w:rFonts w:cs="Arial"/>
                <w:b/>
                <w:color w:val="000000"/>
                <w:lang w:eastAsia="en-GB"/>
              </w:rPr>
              <w:t>Comments</w:t>
            </w:r>
          </w:p>
        </w:tc>
      </w:tr>
      <w:tr w:rsidR="000E44C2" w:rsidRPr="00EF7054" w14:paraId="1AAE69EA" w14:textId="77777777" w:rsidTr="00311D6C">
        <w:trPr>
          <w:trHeight w:val="674"/>
        </w:trPr>
        <w:tc>
          <w:tcPr>
            <w:tcW w:w="1701" w:type="dxa"/>
            <w:tcBorders>
              <w:top w:val="nil"/>
              <w:left w:val="single" w:sz="4" w:space="0" w:color="auto"/>
              <w:bottom w:val="single" w:sz="4" w:space="0" w:color="auto"/>
              <w:right w:val="single" w:sz="4" w:space="0" w:color="auto"/>
            </w:tcBorders>
          </w:tcPr>
          <w:p w14:paraId="05A15BAB" w14:textId="77777777" w:rsidR="000E44C2" w:rsidRPr="000E2E38" w:rsidRDefault="000E44C2" w:rsidP="00311D6C">
            <w:pPr>
              <w:keepNext/>
              <w:keepLines/>
              <w:rPr>
                <w:rFonts w:cs="Arial"/>
                <w:color w:val="000000"/>
                <w:lang w:eastAsia="en-GB"/>
              </w:rPr>
            </w:pPr>
            <w:r w:rsidRPr="004F5B81">
              <w:rPr>
                <w:rFonts w:cs="Arial"/>
              </w:rPr>
              <w:t>Erucic acid</w:t>
            </w:r>
          </w:p>
        </w:tc>
        <w:tc>
          <w:tcPr>
            <w:tcW w:w="1131" w:type="dxa"/>
            <w:tcBorders>
              <w:top w:val="nil"/>
              <w:left w:val="single" w:sz="4" w:space="0" w:color="auto"/>
              <w:bottom w:val="single" w:sz="4" w:space="0" w:color="auto"/>
              <w:right w:val="single" w:sz="4" w:space="0" w:color="auto"/>
            </w:tcBorders>
            <w:shd w:val="clear" w:color="auto" w:fill="auto"/>
            <w:noWrap/>
          </w:tcPr>
          <w:p w14:paraId="1A4667FF" w14:textId="77777777" w:rsidR="000E44C2" w:rsidRPr="00EF7054" w:rsidRDefault="000E44C2" w:rsidP="00311D6C">
            <w:pPr>
              <w:pStyle w:val="FSTableText"/>
              <w:keepNext/>
              <w:keepLines/>
              <w:rPr>
                <w:lang w:bidi="ar-SA"/>
              </w:rPr>
            </w:pPr>
            <w:r w:rsidRPr="00EF7054">
              <w:rPr>
                <w:lang w:bidi="ar-SA"/>
              </w:rPr>
              <w:t>Broccoli florets</w:t>
            </w:r>
          </w:p>
        </w:tc>
        <w:tc>
          <w:tcPr>
            <w:tcW w:w="1162" w:type="dxa"/>
            <w:tcBorders>
              <w:top w:val="nil"/>
              <w:left w:val="nil"/>
              <w:bottom w:val="single" w:sz="4" w:space="0" w:color="auto"/>
              <w:right w:val="single" w:sz="4" w:space="0" w:color="auto"/>
            </w:tcBorders>
            <w:shd w:val="clear" w:color="auto" w:fill="auto"/>
            <w:noWrap/>
          </w:tcPr>
          <w:p w14:paraId="1A104FF2" w14:textId="77777777" w:rsidR="000E44C2" w:rsidRPr="00EF7054" w:rsidRDefault="000E44C2" w:rsidP="00311D6C">
            <w:pPr>
              <w:pStyle w:val="FSTableText"/>
              <w:keepNext/>
              <w:keepLines/>
              <w:jc w:val="right"/>
              <w:rPr>
                <w:lang w:bidi="ar-SA"/>
              </w:rPr>
            </w:pPr>
            <w:r w:rsidRPr="00EF7054">
              <w:rPr>
                <w:lang w:bidi="ar-SA"/>
              </w:rPr>
              <w:t>42</w:t>
            </w:r>
          </w:p>
        </w:tc>
        <w:tc>
          <w:tcPr>
            <w:tcW w:w="1713" w:type="dxa"/>
            <w:tcBorders>
              <w:top w:val="nil"/>
              <w:left w:val="nil"/>
              <w:bottom w:val="single" w:sz="4" w:space="0" w:color="auto"/>
              <w:right w:val="single" w:sz="4" w:space="0" w:color="auto"/>
            </w:tcBorders>
            <w:shd w:val="clear" w:color="auto" w:fill="auto"/>
            <w:noWrap/>
          </w:tcPr>
          <w:p w14:paraId="7ED7B421" w14:textId="77777777" w:rsidR="000E44C2" w:rsidRPr="00EF7054" w:rsidRDefault="000E44C2" w:rsidP="00311D6C">
            <w:pPr>
              <w:pStyle w:val="FSTableText"/>
              <w:keepNext/>
              <w:keepLines/>
              <w:jc w:val="right"/>
              <w:rPr>
                <w:lang w:bidi="ar-SA"/>
              </w:rPr>
            </w:pPr>
            <w:r w:rsidRPr="00EF7054">
              <w:rPr>
                <w:lang w:bidi="ar-SA"/>
              </w:rPr>
              <w:t>8</w:t>
            </w:r>
          </w:p>
        </w:tc>
        <w:tc>
          <w:tcPr>
            <w:tcW w:w="1342" w:type="dxa"/>
            <w:tcBorders>
              <w:top w:val="nil"/>
              <w:left w:val="nil"/>
              <w:bottom w:val="single" w:sz="4" w:space="0" w:color="auto"/>
              <w:right w:val="single" w:sz="4" w:space="0" w:color="auto"/>
            </w:tcBorders>
            <w:shd w:val="clear" w:color="auto" w:fill="auto"/>
            <w:noWrap/>
          </w:tcPr>
          <w:p w14:paraId="34263F30" w14:textId="1A35A0BB" w:rsidR="000E44C2" w:rsidRPr="00EF7054" w:rsidRDefault="000E44C2" w:rsidP="0071622F">
            <w:pPr>
              <w:pStyle w:val="FSTableText"/>
              <w:keepNext/>
              <w:keepLines/>
              <w:rPr>
                <w:lang w:bidi="ar-SA"/>
              </w:rPr>
            </w:pPr>
            <w:r w:rsidRPr="00EF7054">
              <w:rPr>
                <w:lang w:bidi="ar-SA"/>
              </w:rPr>
              <w:t xml:space="preserve">West </w:t>
            </w:r>
            <w:r w:rsidR="0071622F" w:rsidRPr="0071622F">
              <w:rPr>
                <w:lang w:bidi="ar-SA"/>
              </w:rPr>
              <w:t>et al.</w:t>
            </w:r>
            <w:r w:rsidRPr="00EF7054">
              <w:rPr>
                <w:lang w:bidi="ar-SA"/>
              </w:rPr>
              <w:t xml:space="preserve"> (2002)</w:t>
            </w:r>
          </w:p>
        </w:tc>
        <w:tc>
          <w:tcPr>
            <w:tcW w:w="2016" w:type="dxa"/>
            <w:tcBorders>
              <w:top w:val="nil"/>
              <w:left w:val="nil"/>
              <w:bottom w:val="single" w:sz="4" w:space="0" w:color="auto"/>
              <w:right w:val="single" w:sz="4" w:space="0" w:color="auto"/>
            </w:tcBorders>
            <w:shd w:val="clear" w:color="auto" w:fill="auto"/>
          </w:tcPr>
          <w:p w14:paraId="3A52EF2D" w14:textId="77777777" w:rsidR="000E44C2" w:rsidRPr="00EF7054" w:rsidRDefault="000E44C2" w:rsidP="00311D6C">
            <w:pPr>
              <w:pStyle w:val="FSTableText"/>
              <w:keepNext/>
              <w:keepLines/>
              <w:rPr>
                <w:lang w:bidi="ar-SA"/>
              </w:rPr>
            </w:pPr>
            <w:r w:rsidRPr="00EF7054">
              <w:rPr>
                <w:lang w:bidi="ar-SA"/>
              </w:rPr>
              <w:t>Reliable data estimate, large sample number</w:t>
            </w:r>
          </w:p>
        </w:tc>
      </w:tr>
      <w:tr w:rsidR="008B483C" w:rsidRPr="00EF7054" w14:paraId="3EC7BB1F" w14:textId="77777777" w:rsidTr="005C66C4">
        <w:trPr>
          <w:trHeight w:val="940"/>
        </w:trPr>
        <w:tc>
          <w:tcPr>
            <w:tcW w:w="1701" w:type="dxa"/>
            <w:tcBorders>
              <w:top w:val="nil"/>
              <w:left w:val="single" w:sz="4" w:space="0" w:color="auto"/>
              <w:bottom w:val="single" w:sz="4" w:space="0" w:color="auto"/>
              <w:right w:val="single" w:sz="4" w:space="0" w:color="auto"/>
            </w:tcBorders>
          </w:tcPr>
          <w:p w14:paraId="77B63A7B" w14:textId="77777777" w:rsidR="008B483C" w:rsidRPr="000E2E38" w:rsidRDefault="008B483C" w:rsidP="004F5B81">
            <w:pPr>
              <w:keepNext/>
              <w:keepLines/>
              <w:rPr>
                <w:rFonts w:cs="Arial"/>
                <w:color w:val="000000"/>
                <w:lang w:eastAsia="en-GB"/>
              </w:rPr>
            </w:pPr>
            <w:r w:rsidRPr="004F5B81">
              <w:rPr>
                <w:rFonts w:cs="Arial"/>
              </w:rPr>
              <w:t>Glucosinolates</w:t>
            </w:r>
          </w:p>
        </w:tc>
        <w:tc>
          <w:tcPr>
            <w:tcW w:w="1131" w:type="dxa"/>
            <w:tcBorders>
              <w:top w:val="nil"/>
              <w:left w:val="single" w:sz="4" w:space="0" w:color="auto"/>
              <w:bottom w:val="single" w:sz="4" w:space="0" w:color="auto"/>
              <w:right w:val="single" w:sz="4" w:space="0" w:color="auto"/>
            </w:tcBorders>
            <w:shd w:val="clear" w:color="auto" w:fill="auto"/>
            <w:noWrap/>
          </w:tcPr>
          <w:p w14:paraId="24EE76EC" w14:textId="00EBFFB6" w:rsidR="008B483C" w:rsidRPr="00EF7054" w:rsidRDefault="008B483C" w:rsidP="004F5B81">
            <w:pPr>
              <w:pStyle w:val="FSTableText"/>
              <w:keepNext/>
              <w:keepLines/>
              <w:rPr>
                <w:lang w:bidi="ar-SA"/>
              </w:rPr>
            </w:pPr>
            <w:r w:rsidRPr="00EF7054">
              <w:rPr>
                <w:lang w:bidi="ar-SA"/>
              </w:rPr>
              <w:t xml:space="preserve">Green broccoli </w:t>
            </w:r>
          </w:p>
        </w:tc>
        <w:tc>
          <w:tcPr>
            <w:tcW w:w="1162" w:type="dxa"/>
            <w:tcBorders>
              <w:top w:val="nil"/>
              <w:left w:val="nil"/>
              <w:bottom w:val="single" w:sz="4" w:space="0" w:color="auto"/>
              <w:right w:val="single" w:sz="4" w:space="0" w:color="auto"/>
            </w:tcBorders>
            <w:shd w:val="clear" w:color="auto" w:fill="auto"/>
            <w:noWrap/>
          </w:tcPr>
          <w:p w14:paraId="6B55077C" w14:textId="1F46CCB6" w:rsidR="008B483C" w:rsidRPr="00EF7054" w:rsidRDefault="008B483C" w:rsidP="004F5B81">
            <w:pPr>
              <w:pStyle w:val="FSTableText"/>
              <w:keepNext/>
              <w:keepLines/>
              <w:jc w:val="right"/>
              <w:rPr>
                <w:lang w:bidi="ar-SA"/>
              </w:rPr>
            </w:pPr>
            <w:r w:rsidRPr="00EF7054">
              <w:rPr>
                <w:lang w:bidi="ar-SA"/>
              </w:rPr>
              <w:t>3</w:t>
            </w:r>
          </w:p>
        </w:tc>
        <w:tc>
          <w:tcPr>
            <w:tcW w:w="1713" w:type="dxa"/>
            <w:tcBorders>
              <w:top w:val="nil"/>
              <w:left w:val="nil"/>
              <w:bottom w:val="single" w:sz="4" w:space="0" w:color="auto"/>
              <w:right w:val="single" w:sz="4" w:space="0" w:color="auto"/>
            </w:tcBorders>
            <w:shd w:val="clear" w:color="auto" w:fill="auto"/>
            <w:noWrap/>
          </w:tcPr>
          <w:p w14:paraId="380D1263" w14:textId="6FFC2C70" w:rsidR="008B483C" w:rsidRPr="00EF7054" w:rsidRDefault="008B483C" w:rsidP="004F5B81">
            <w:pPr>
              <w:pStyle w:val="FSTableText"/>
              <w:keepNext/>
              <w:keepLines/>
              <w:jc w:val="right"/>
              <w:rPr>
                <w:lang w:bidi="ar-SA"/>
              </w:rPr>
            </w:pPr>
            <w:r w:rsidRPr="00EF7054">
              <w:rPr>
                <w:lang w:bidi="ar-SA"/>
              </w:rPr>
              <w:t>646</w:t>
            </w:r>
          </w:p>
        </w:tc>
        <w:tc>
          <w:tcPr>
            <w:tcW w:w="1342" w:type="dxa"/>
            <w:tcBorders>
              <w:top w:val="nil"/>
              <w:left w:val="nil"/>
              <w:bottom w:val="single" w:sz="4" w:space="0" w:color="auto"/>
              <w:right w:val="single" w:sz="4" w:space="0" w:color="auto"/>
            </w:tcBorders>
            <w:shd w:val="clear" w:color="auto" w:fill="auto"/>
            <w:noWrap/>
          </w:tcPr>
          <w:p w14:paraId="688740FF" w14:textId="17CD81DA" w:rsidR="008B483C" w:rsidRPr="00EF7054" w:rsidRDefault="008B483C" w:rsidP="0071622F">
            <w:pPr>
              <w:pStyle w:val="FSTableText"/>
              <w:keepNext/>
              <w:keepLines/>
              <w:rPr>
                <w:lang w:bidi="ar-SA"/>
              </w:rPr>
            </w:pPr>
            <w:r w:rsidRPr="00EF7054">
              <w:rPr>
                <w:lang w:bidi="ar-SA"/>
              </w:rPr>
              <w:t xml:space="preserve">Schonhof </w:t>
            </w:r>
            <w:r w:rsidR="0071622F" w:rsidRPr="0071622F">
              <w:rPr>
                <w:lang w:bidi="ar-SA"/>
              </w:rPr>
              <w:t>et al.</w:t>
            </w:r>
            <w:r w:rsidRPr="00EF7054">
              <w:rPr>
                <w:lang w:bidi="ar-SA"/>
              </w:rPr>
              <w:t xml:space="preserve"> (2004)</w:t>
            </w:r>
          </w:p>
        </w:tc>
        <w:tc>
          <w:tcPr>
            <w:tcW w:w="2016" w:type="dxa"/>
            <w:tcBorders>
              <w:top w:val="nil"/>
              <w:left w:val="nil"/>
              <w:bottom w:val="single" w:sz="4" w:space="0" w:color="auto"/>
              <w:right w:val="single" w:sz="4" w:space="0" w:color="auto"/>
            </w:tcBorders>
            <w:shd w:val="clear" w:color="auto" w:fill="auto"/>
          </w:tcPr>
          <w:p w14:paraId="27D55918" w14:textId="21390D31" w:rsidR="008B483C" w:rsidRPr="00EF7054" w:rsidRDefault="008B483C" w:rsidP="004F5B81">
            <w:pPr>
              <w:pStyle w:val="FSTableText"/>
              <w:keepNext/>
              <w:keepLines/>
              <w:rPr>
                <w:lang w:bidi="ar-SA"/>
              </w:rPr>
            </w:pPr>
            <w:r w:rsidRPr="00EF7054">
              <w:rPr>
                <w:lang w:bidi="ar-SA"/>
              </w:rPr>
              <w:t>Reliable worst case scenario concentration values, sample no. &gt;1</w:t>
            </w:r>
          </w:p>
        </w:tc>
      </w:tr>
    </w:tbl>
    <w:p w14:paraId="77EE9ED4" w14:textId="6F4CBFD2" w:rsidR="003A0A53" w:rsidRPr="00EF7054" w:rsidRDefault="003A0A53" w:rsidP="003A0A53">
      <w:pPr>
        <w:rPr>
          <w:rFonts w:cs="Arial"/>
        </w:rPr>
      </w:pPr>
    </w:p>
    <w:p w14:paraId="0E97EFF1" w14:textId="4F68AE3A" w:rsidR="00566D92" w:rsidRPr="00047F90" w:rsidRDefault="00B169D0" w:rsidP="00566D92">
      <w:r>
        <w:t xml:space="preserve">Due to the </w:t>
      </w:r>
      <w:r w:rsidR="00566D92" w:rsidRPr="00047F90">
        <w:t xml:space="preserve">limited information in the literature regarding the concentrations of glucosinolates and erucic acid in specific </w:t>
      </w:r>
      <w:r w:rsidR="00DA0240" w:rsidRPr="00DA0240">
        <w:rPr>
          <w:i/>
          <w:lang w:bidi="ar-SA"/>
        </w:rPr>
        <w:t>Brassica</w:t>
      </w:r>
      <w:r w:rsidR="00DA0240" w:rsidRPr="00047F90">
        <w:t xml:space="preserve"> </w:t>
      </w:r>
      <w:r w:rsidR="00566D92" w:rsidRPr="00047F90">
        <w:t>vegetables, the calculations of dietary exposure will c</w:t>
      </w:r>
      <w:r w:rsidR="009E7BD1">
        <w:t>ontain a degree of uncertainty.</w:t>
      </w:r>
    </w:p>
    <w:p w14:paraId="75DC9A48" w14:textId="77777777" w:rsidR="00566D92" w:rsidRPr="00047F90" w:rsidRDefault="00566D92" w:rsidP="00566D92"/>
    <w:p w14:paraId="02F57B06" w14:textId="7B4776DD" w:rsidR="00305E8C" w:rsidRDefault="00B169D0" w:rsidP="00305E8C">
      <w:r>
        <w:t>T</w:t>
      </w:r>
      <w:r w:rsidR="009E7BD1" w:rsidRPr="00047F90">
        <w:t xml:space="preserve">he concentrations of </w:t>
      </w:r>
      <w:r w:rsidR="000E44C2" w:rsidRPr="00047F90">
        <w:t xml:space="preserve">erucic acid and </w:t>
      </w:r>
      <w:r w:rsidR="009E7BD1" w:rsidRPr="00047F90">
        <w:t xml:space="preserve">glucosinolates </w:t>
      </w:r>
      <w:r>
        <w:t>can be</w:t>
      </w:r>
      <w:r w:rsidR="009E7BD1" w:rsidRPr="00047F90">
        <w:t xml:space="preserve"> affected by variety, geneti</w:t>
      </w:r>
      <w:r w:rsidR="004339CE">
        <w:t xml:space="preserve">c and environmental factors of </w:t>
      </w:r>
      <w:r w:rsidR="00DA0240" w:rsidRPr="00DA0240">
        <w:rPr>
          <w:i/>
          <w:lang w:bidi="ar-SA"/>
        </w:rPr>
        <w:t>Brassica</w:t>
      </w:r>
      <w:r w:rsidR="00DA0240" w:rsidRPr="00047F90">
        <w:t xml:space="preserve"> </w:t>
      </w:r>
      <w:r w:rsidR="009E7BD1" w:rsidRPr="00047F90">
        <w:t xml:space="preserve">species (Ciska </w:t>
      </w:r>
      <w:r w:rsidR="0071622F" w:rsidRPr="0071622F">
        <w:t>et al.</w:t>
      </w:r>
      <w:r w:rsidR="009E7BD1" w:rsidRPr="00047F90">
        <w:t xml:space="preserve"> 2000; Pereira </w:t>
      </w:r>
      <w:r w:rsidR="0071622F" w:rsidRPr="0071622F">
        <w:t>et al.</w:t>
      </w:r>
      <w:r w:rsidR="009E7BD1" w:rsidRPr="00047F90">
        <w:t xml:space="preserve"> 2002; Wallace </w:t>
      </w:r>
      <w:r w:rsidR="0071622F" w:rsidRPr="0071622F">
        <w:t>et al.</w:t>
      </w:r>
      <w:r w:rsidR="00C8549B">
        <w:t xml:space="preserve"> </w:t>
      </w:r>
      <w:r w:rsidR="009E7BD1" w:rsidRPr="00047F90">
        <w:t>2016).</w:t>
      </w:r>
      <w:r w:rsidR="009E7BD1">
        <w:t xml:space="preserve"> </w:t>
      </w:r>
      <w:r w:rsidR="00566D92" w:rsidRPr="00047F90">
        <w:t xml:space="preserve">Different analytical methods used by different studies could </w:t>
      </w:r>
      <w:r>
        <w:t xml:space="preserve">also </w:t>
      </w:r>
      <w:r w:rsidR="00566D92" w:rsidRPr="00047F90">
        <w:t xml:space="preserve">be in part responsible for some of the wide variations in the concentration data reported for </w:t>
      </w:r>
      <w:r w:rsidR="009E7BD1">
        <w:t>glucosinolates and erucic acid.</w:t>
      </w:r>
    </w:p>
    <w:p w14:paraId="72017C7F" w14:textId="77777777" w:rsidR="00F866BA" w:rsidRDefault="00F866BA" w:rsidP="00F866BA">
      <w:pPr>
        <w:pStyle w:val="Heading2"/>
      </w:pPr>
      <w:bookmarkStart w:id="1332" w:name="_Toc38549508"/>
      <w:bookmarkStart w:id="1333" w:name="_Toc38634171"/>
      <w:bookmarkStart w:id="1334" w:name="_Toc39571050"/>
      <w:bookmarkStart w:id="1335" w:name="_Toc39579306"/>
      <w:bookmarkStart w:id="1336" w:name="_Toc39579369"/>
      <w:bookmarkStart w:id="1337" w:name="_Toc39587127"/>
      <w:bookmarkStart w:id="1338" w:name="_Toc39582519"/>
      <w:bookmarkStart w:id="1339" w:name="_Toc40264938"/>
      <w:bookmarkStart w:id="1340" w:name="_Toc40266414"/>
      <w:bookmarkStart w:id="1341" w:name="_Toc40279747"/>
      <w:bookmarkStart w:id="1342" w:name="_Toc40282049"/>
      <w:bookmarkStart w:id="1343" w:name="_Toc40282211"/>
      <w:bookmarkStart w:id="1344" w:name="_Toc40360541"/>
      <w:bookmarkStart w:id="1345" w:name="_Toc40353584"/>
      <w:bookmarkStart w:id="1346" w:name="_Toc40366931"/>
      <w:bookmarkStart w:id="1347" w:name="_Toc40368263"/>
      <w:bookmarkStart w:id="1348" w:name="_Toc40382869"/>
      <w:bookmarkStart w:id="1349" w:name="_Toc40431068"/>
      <w:bookmarkStart w:id="1350" w:name="_Toc40433006"/>
      <w:bookmarkStart w:id="1351" w:name="_Toc40447691"/>
      <w:bookmarkStart w:id="1352" w:name="_Toc40441220"/>
      <w:bookmarkStart w:id="1353" w:name="_Toc40448556"/>
      <w:bookmarkStart w:id="1354" w:name="_Toc40449984"/>
      <w:bookmarkStart w:id="1355" w:name="_Toc40968328"/>
      <w:bookmarkStart w:id="1356" w:name="_Toc41051050"/>
      <w:bookmarkStart w:id="1357" w:name="_Toc41046050"/>
      <w:bookmarkStart w:id="1358" w:name="_Toc41053508"/>
      <w:bookmarkStart w:id="1359" w:name="_Toc44592679"/>
      <w:bookmarkStart w:id="1360" w:name="_Toc44596192"/>
      <w:bookmarkStart w:id="1361" w:name="_Toc44604587"/>
      <w:bookmarkStart w:id="1362" w:name="_Toc54169735"/>
      <w:bookmarkStart w:id="1363" w:name="_Toc56090024"/>
      <w:r>
        <w:t>6.3</w:t>
      </w:r>
      <w:r>
        <w:tab/>
        <w:t>Dietary exposure assessment results</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3E11FDF0" w14:textId="77777777" w:rsidR="00F866BA" w:rsidRDefault="00F866BA" w:rsidP="00F866BA">
      <w:pPr>
        <w:pStyle w:val="Heading3"/>
      </w:pPr>
      <w:bookmarkStart w:id="1364" w:name="_Toc38549509"/>
      <w:bookmarkStart w:id="1365" w:name="_Toc38634172"/>
      <w:bookmarkStart w:id="1366" w:name="_Toc39571051"/>
      <w:bookmarkStart w:id="1367" w:name="_Toc39579307"/>
      <w:bookmarkStart w:id="1368" w:name="_Toc39579370"/>
      <w:bookmarkStart w:id="1369" w:name="_Toc39587128"/>
      <w:bookmarkStart w:id="1370" w:name="_Toc39582520"/>
      <w:bookmarkStart w:id="1371" w:name="_Toc40264939"/>
      <w:bookmarkStart w:id="1372" w:name="_Toc40266415"/>
      <w:bookmarkStart w:id="1373" w:name="_Toc40279748"/>
      <w:bookmarkStart w:id="1374" w:name="_Toc40282050"/>
      <w:bookmarkStart w:id="1375" w:name="_Toc40282212"/>
      <w:bookmarkStart w:id="1376" w:name="_Toc40360542"/>
      <w:bookmarkStart w:id="1377" w:name="_Toc40353585"/>
      <w:bookmarkStart w:id="1378" w:name="_Toc40366932"/>
      <w:bookmarkStart w:id="1379" w:name="_Toc40368264"/>
      <w:bookmarkStart w:id="1380" w:name="_Toc40382870"/>
      <w:bookmarkStart w:id="1381" w:name="_Toc40431069"/>
      <w:bookmarkStart w:id="1382" w:name="_Toc40433007"/>
      <w:bookmarkStart w:id="1383" w:name="_Toc40447692"/>
      <w:bookmarkStart w:id="1384" w:name="_Toc40441221"/>
      <w:bookmarkStart w:id="1385" w:name="_Toc40448557"/>
      <w:bookmarkStart w:id="1386" w:name="_Toc40449985"/>
      <w:bookmarkStart w:id="1387" w:name="_Toc40968329"/>
      <w:bookmarkStart w:id="1388" w:name="_Toc41051051"/>
      <w:bookmarkStart w:id="1389" w:name="_Toc41046051"/>
      <w:bookmarkStart w:id="1390" w:name="_Toc41053509"/>
      <w:bookmarkStart w:id="1391" w:name="_Toc44592680"/>
      <w:bookmarkStart w:id="1392" w:name="_Toc44596193"/>
      <w:bookmarkStart w:id="1393" w:name="_Toc44604588"/>
      <w:bookmarkStart w:id="1394" w:name="_Toc54169736"/>
      <w:bookmarkStart w:id="1395" w:name="_Toc56090025"/>
      <w:r>
        <w:t>6.3.1</w:t>
      </w:r>
      <w:r>
        <w:tab/>
        <w:t>Estimated dietary exposures to rapeseed protein isolate</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p>
    <w:p w14:paraId="5347A5F2" w14:textId="77777777" w:rsidR="00F866BA" w:rsidRDefault="00F866BA" w:rsidP="00F866BA">
      <w:r>
        <w:t>Dietary exposures to rapeseed protein isolate were estimated based on the proposed maximum use levels and typical use levels. The results based on the typical use levels were deemed appropriate for the risk characterisation given these levels represent more likely concentrations that consumers will eat over a chronic or long period of time. The results based on the typical use levels are therefore discussed below. The results based on the proposed maximum use levels are provided in Appendix 1.</w:t>
      </w:r>
    </w:p>
    <w:p w14:paraId="7EB612DF" w14:textId="77777777" w:rsidR="00F866BA" w:rsidRDefault="00F866BA" w:rsidP="00F866BA"/>
    <w:p w14:paraId="29FEECAD" w14:textId="77777777" w:rsidR="00F866BA" w:rsidRPr="00BA1BF6" w:rsidRDefault="00F866BA" w:rsidP="00F866BA">
      <w:r w:rsidRPr="00047F90">
        <w:t>Estimated daily dietary exposure</w:t>
      </w:r>
      <w:r>
        <w:t>s</w:t>
      </w:r>
      <w:r w:rsidRPr="00047F90">
        <w:t xml:space="preserve"> to </w:t>
      </w:r>
      <w:r>
        <w:t xml:space="preserve">rapeseed protein isolate </w:t>
      </w:r>
      <w:r w:rsidRPr="00047F90">
        <w:t xml:space="preserve">were calculated as mean and </w:t>
      </w:r>
      <w:r w:rsidRPr="00BA1BF6">
        <w:t>90</w:t>
      </w:r>
      <w:r w:rsidRPr="00BA1BF6">
        <w:rPr>
          <w:vertAlign w:val="superscript"/>
        </w:rPr>
        <w:t>th</w:t>
      </w:r>
      <w:r w:rsidRPr="00BA1BF6">
        <w:t xml:space="preserve"> percentile in g/day and g/kg body weight/day for Australian and New Zealand population groups as shown in Table 6.3.</w:t>
      </w:r>
    </w:p>
    <w:p w14:paraId="33CA5F79" w14:textId="77777777" w:rsidR="00F866BA" w:rsidRPr="00BA1BF6" w:rsidRDefault="00F866BA" w:rsidP="00F866BA"/>
    <w:p w14:paraId="75BD6864" w14:textId="77777777" w:rsidR="00F866BA" w:rsidRPr="00BA1BF6" w:rsidRDefault="00F866BA" w:rsidP="00F866BA">
      <w:r w:rsidRPr="00BA1BF6">
        <w:t xml:space="preserve">Mean dietary exposure to </w:t>
      </w:r>
      <w:r w:rsidRPr="00523ACD">
        <w:t>rapeseed protein isolate based on typical use levels for Australians aged 2 years and above was 40.2 g/day. Whereas for New Zealand children 5-14 years and adults 15 years and above mean dietary exposures were 45.2 g/day and 42.1 g/day respectively. On a body weight basis, estimated mean daily exposure to rapeseed protein isolate for Australian aged 2 years and above was 0.67 g/kg bw/day and for New Zealand children and adults respectively were 1.25 g/kg bw/</w:t>
      </w:r>
      <w:r w:rsidRPr="00725070">
        <w:t xml:space="preserve">day and </w:t>
      </w:r>
      <w:r>
        <w:t xml:space="preserve">0.55 </w:t>
      </w:r>
      <w:r w:rsidRPr="00BA1BF6">
        <w:t>g/kg bw/day.</w:t>
      </w:r>
    </w:p>
    <w:p w14:paraId="7E5AB072" w14:textId="77777777" w:rsidR="00F866BA" w:rsidRPr="00BA1BF6" w:rsidRDefault="00F866BA" w:rsidP="00F866BA"/>
    <w:p w14:paraId="783009CF" w14:textId="77777777" w:rsidR="00F866BA" w:rsidRPr="00BA1BF6" w:rsidRDefault="00F866BA" w:rsidP="00F866BA">
      <w:r w:rsidRPr="00BA1BF6">
        <w:t xml:space="preserve">Estimated 90th </w:t>
      </w:r>
      <w:r w:rsidRPr="000B574D">
        <w:t>percentile dietary exposure to rapeseed protein isolate for Australians aged 2 years and above was 74.2 g/day. Estimated 90th percentile dietary exposures to rapeseed protein isolate for New Zealand children 5-14 years and adults 15 years and above were 77.7 g/day and 82.8 g/day</w:t>
      </w:r>
      <w:r w:rsidRPr="00BA1BF6">
        <w:t xml:space="preserve">. When expressed on a body weight basis, estimated 90th percentile daily exposure to rapeseed protein isolate for the Australian aged 2 years and above, </w:t>
      </w:r>
      <w:r w:rsidRPr="000B574D">
        <w:t>was 1.33 g/kg bw/day and 2.28 g/kg bw/</w:t>
      </w:r>
      <w:r w:rsidRPr="00BA1BF6">
        <w:t xml:space="preserve">day for New Zealand children and </w:t>
      </w:r>
      <w:r>
        <w:t>1.09 </w:t>
      </w:r>
      <w:r w:rsidRPr="00BA1BF6">
        <w:t>g/kg bw/day for the adults.</w:t>
      </w:r>
    </w:p>
    <w:p w14:paraId="65F548E7" w14:textId="77777777" w:rsidR="00F866BA" w:rsidRPr="00BA1BF6" w:rsidRDefault="00F866BA" w:rsidP="00F866BA">
      <w:pPr>
        <w:rPr>
          <w:lang w:bidi="ar-SA"/>
        </w:rPr>
      </w:pPr>
    </w:p>
    <w:p w14:paraId="0DFAA5C1" w14:textId="77777777" w:rsidR="00F866BA" w:rsidRPr="001750EE" w:rsidRDefault="00F866BA" w:rsidP="00F866BA">
      <w:pPr>
        <w:keepNext/>
        <w:keepLines/>
        <w:rPr>
          <w:rFonts w:cs="Arial"/>
          <w:b/>
          <w:i/>
          <w:szCs w:val="22"/>
        </w:rPr>
      </w:pPr>
      <w:r w:rsidRPr="001750EE">
        <w:rPr>
          <w:rFonts w:cs="Arial"/>
          <w:b/>
          <w:i/>
          <w:szCs w:val="22"/>
        </w:rPr>
        <w:t>Table 6.3</w:t>
      </w:r>
      <w:r>
        <w:rPr>
          <w:rFonts w:cs="Arial"/>
          <w:b/>
          <w:i/>
          <w:szCs w:val="22"/>
        </w:rPr>
        <w:tab/>
      </w:r>
      <w:r w:rsidRPr="001750EE">
        <w:rPr>
          <w:rFonts w:cs="Arial"/>
          <w:i/>
          <w:szCs w:val="22"/>
        </w:rPr>
        <w:t>Estimated mean and high percentile dietary exposure to Rapeseed Protein Isolate (g/day; g/kg bw/day)</w:t>
      </w:r>
      <w:r>
        <w:rPr>
          <w:rFonts w:cs="Arial"/>
          <w:i/>
          <w:szCs w:val="22"/>
        </w:rPr>
        <w:t xml:space="preserve"> based on proposed typical use levels</w:t>
      </w:r>
    </w:p>
    <w:p w14:paraId="63B59CCD" w14:textId="77777777" w:rsidR="00F866BA" w:rsidRDefault="00F866BA" w:rsidP="00F866BA">
      <w:pPr>
        <w:keepNext/>
        <w:keepLines/>
        <w:rPr>
          <w:lang w:bidi="ar-SA"/>
        </w:rPr>
      </w:pPr>
    </w:p>
    <w:tbl>
      <w:tblPr>
        <w:tblW w:w="9598" w:type="dxa"/>
        <w:tblInd w:w="-5" w:type="dxa"/>
        <w:tblLayout w:type="fixed"/>
        <w:tblLook w:val="04A0" w:firstRow="1" w:lastRow="0" w:firstColumn="1" w:lastColumn="0" w:noHBand="0" w:noVBand="1"/>
        <w:tblCaption w:val="Estimated mean and high percentile dietary exposure to Rapeseed Protein Isolate (g/day; g/kg bw/day)"/>
        <w:tblDescription w:val="Table 6.3 has 8 columns, the first column is the country, the second column is population age (years), the third column is the number of consumers, the fourth column is consumers as a proportion of respondents, the fifth column is the mean exposure in grams per day and sixth column is the mean exposure in grams per kilogram per body weight per day. The seventh column is 90th percentile exposure in grams per day and last column is the 90th percentile exposure in grams per kilogram per body weight per day. Estimated dietary exposures are based on the average of two days of data for Australia, and only one day of data for New Zealand. "/>
      </w:tblPr>
      <w:tblGrid>
        <w:gridCol w:w="1061"/>
        <w:gridCol w:w="1599"/>
        <w:gridCol w:w="1284"/>
        <w:gridCol w:w="1517"/>
        <w:gridCol w:w="1034"/>
        <w:gridCol w:w="1018"/>
        <w:gridCol w:w="1050"/>
        <w:gridCol w:w="1035"/>
      </w:tblGrid>
      <w:tr w:rsidR="00F866BA" w:rsidRPr="000D2A80" w14:paraId="317B910A" w14:textId="77777777" w:rsidTr="00D7625B">
        <w:trPr>
          <w:trHeight w:val="300"/>
        </w:trPr>
        <w:tc>
          <w:tcPr>
            <w:tcW w:w="1061" w:type="dxa"/>
            <w:vMerge w:val="restart"/>
            <w:tcBorders>
              <w:top w:val="single" w:sz="4" w:space="0" w:color="auto"/>
              <w:left w:val="single" w:sz="4" w:space="0" w:color="auto"/>
              <w:right w:val="single" w:sz="4" w:space="0" w:color="auto"/>
            </w:tcBorders>
            <w:vAlign w:val="bottom"/>
          </w:tcPr>
          <w:p w14:paraId="494D4D72" w14:textId="77777777" w:rsidR="00F866BA" w:rsidRPr="009553A9" w:rsidRDefault="00F866BA" w:rsidP="00D7625B">
            <w:pPr>
              <w:pStyle w:val="FSTableText"/>
              <w:keepNext/>
              <w:keepLines/>
              <w:rPr>
                <w:rFonts w:ascii="Calibri" w:hAnsi="Calibri" w:cs="Calibri"/>
                <w:b/>
                <w:color w:val="000000"/>
                <w:lang w:eastAsia="en-GB"/>
              </w:rPr>
            </w:pPr>
            <w:r w:rsidRPr="00DD2C9F">
              <w:rPr>
                <w:b/>
                <w:lang w:bidi="ar-SA"/>
              </w:rPr>
              <w:t>Country*</w:t>
            </w:r>
          </w:p>
        </w:tc>
        <w:tc>
          <w:tcPr>
            <w:tcW w:w="1599" w:type="dxa"/>
            <w:vMerge w:val="restart"/>
            <w:tcBorders>
              <w:top w:val="single" w:sz="4" w:space="0" w:color="auto"/>
              <w:left w:val="single" w:sz="4" w:space="0" w:color="auto"/>
              <w:right w:val="single" w:sz="4" w:space="0" w:color="auto"/>
            </w:tcBorders>
            <w:shd w:val="clear" w:color="auto" w:fill="auto"/>
            <w:noWrap/>
            <w:vAlign w:val="bottom"/>
            <w:hideMark/>
          </w:tcPr>
          <w:p w14:paraId="35A0FA9D" w14:textId="77777777" w:rsidR="00F866BA" w:rsidRPr="009553A9" w:rsidRDefault="00F866BA" w:rsidP="00D7625B">
            <w:pPr>
              <w:pStyle w:val="FSTableText"/>
              <w:keepNext/>
              <w:keepLines/>
              <w:rPr>
                <w:rFonts w:ascii="Calibri" w:hAnsi="Calibri" w:cs="Calibri"/>
                <w:b/>
                <w:color w:val="000000"/>
                <w:lang w:eastAsia="en-GB"/>
              </w:rPr>
            </w:pPr>
            <w:r w:rsidRPr="00DD2C9F">
              <w:rPr>
                <w:b/>
                <w:lang w:bidi="ar-SA"/>
              </w:rPr>
              <w:t>Population age (years)</w:t>
            </w:r>
          </w:p>
        </w:tc>
        <w:tc>
          <w:tcPr>
            <w:tcW w:w="1284" w:type="dxa"/>
            <w:vMerge w:val="restart"/>
            <w:tcBorders>
              <w:top w:val="single" w:sz="4" w:space="0" w:color="auto"/>
              <w:left w:val="nil"/>
              <w:bottom w:val="single" w:sz="4" w:space="0" w:color="auto"/>
              <w:right w:val="single" w:sz="4" w:space="0" w:color="auto"/>
            </w:tcBorders>
            <w:vAlign w:val="bottom"/>
          </w:tcPr>
          <w:p w14:paraId="7BBB1799" w14:textId="77777777" w:rsidR="00F866BA" w:rsidRDefault="00F866BA" w:rsidP="00D7625B">
            <w:pPr>
              <w:pStyle w:val="FSTableText"/>
              <w:keepNext/>
              <w:keepLines/>
              <w:jc w:val="right"/>
              <w:rPr>
                <w:b/>
                <w:lang w:bidi="ar-SA"/>
              </w:rPr>
            </w:pPr>
            <w:r>
              <w:rPr>
                <w:b/>
                <w:lang w:bidi="ar-SA"/>
              </w:rPr>
              <w:t>Number of consumers</w:t>
            </w:r>
          </w:p>
        </w:tc>
        <w:tc>
          <w:tcPr>
            <w:tcW w:w="1517" w:type="dxa"/>
            <w:vMerge w:val="restart"/>
            <w:tcBorders>
              <w:top w:val="single" w:sz="4" w:space="0" w:color="auto"/>
              <w:left w:val="single" w:sz="4" w:space="0" w:color="auto"/>
              <w:bottom w:val="single" w:sz="4" w:space="0" w:color="auto"/>
              <w:right w:val="single" w:sz="4" w:space="0" w:color="auto"/>
            </w:tcBorders>
          </w:tcPr>
          <w:p w14:paraId="53853C1F" w14:textId="77777777" w:rsidR="00F866BA" w:rsidRPr="00341304" w:rsidRDefault="00F866BA" w:rsidP="00D7625B">
            <w:pPr>
              <w:pStyle w:val="FSTableText"/>
              <w:keepNext/>
              <w:keepLines/>
              <w:jc w:val="right"/>
              <w:rPr>
                <w:b/>
                <w:lang w:bidi="ar-SA"/>
              </w:rPr>
            </w:pPr>
            <w:r w:rsidRPr="004C5AB6">
              <w:rPr>
                <w:b/>
                <w:lang w:bidi="ar-SA"/>
              </w:rPr>
              <w:t>Consumers as a proportion of respondents</w:t>
            </w:r>
            <w:r>
              <w:rPr>
                <w:b/>
                <w:lang w:bidi="ar-SA"/>
              </w:rPr>
              <w:t xml:space="preserve"> (%)</w:t>
            </w:r>
          </w:p>
        </w:tc>
        <w:tc>
          <w:tcPr>
            <w:tcW w:w="20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604EB3" w14:textId="77777777" w:rsidR="00F866BA" w:rsidRPr="00DD2C9F" w:rsidRDefault="00F866BA" w:rsidP="00D7625B">
            <w:pPr>
              <w:pStyle w:val="FSTableText"/>
              <w:keepNext/>
              <w:keepLines/>
              <w:jc w:val="center"/>
              <w:rPr>
                <w:b/>
                <w:lang w:bidi="ar-SA"/>
              </w:rPr>
            </w:pPr>
            <w:r w:rsidRPr="00DD2C9F">
              <w:rPr>
                <w:b/>
                <w:lang w:bidi="ar-SA"/>
              </w:rPr>
              <w:t>Mean</w:t>
            </w:r>
          </w:p>
        </w:tc>
        <w:tc>
          <w:tcPr>
            <w:tcW w:w="20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B7EFE9" w14:textId="77777777" w:rsidR="00F866BA" w:rsidRPr="00DD2C9F" w:rsidRDefault="00F866BA" w:rsidP="00D7625B">
            <w:pPr>
              <w:pStyle w:val="FSTableText"/>
              <w:keepNext/>
              <w:keepLines/>
              <w:jc w:val="center"/>
              <w:rPr>
                <w:b/>
                <w:lang w:bidi="ar-SA"/>
              </w:rPr>
            </w:pPr>
            <w:r w:rsidRPr="00DD2C9F">
              <w:rPr>
                <w:b/>
                <w:lang w:bidi="ar-SA"/>
              </w:rPr>
              <w:t>90th Percentile</w:t>
            </w:r>
          </w:p>
        </w:tc>
      </w:tr>
      <w:tr w:rsidR="00F866BA" w:rsidRPr="000D2A80" w14:paraId="4DC97E03" w14:textId="77777777" w:rsidTr="00D7625B">
        <w:trPr>
          <w:trHeight w:val="463"/>
        </w:trPr>
        <w:tc>
          <w:tcPr>
            <w:tcW w:w="1061" w:type="dxa"/>
            <w:vMerge/>
            <w:tcBorders>
              <w:left w:val="single" w:sz="4" w:space="0" w:color="auto"/>
              <w:bottom w:val="single" w:sz="4" w:space="0" w:color="auto"/>
              <w:right w:val="single" w:sz="4" w:space="0" w:color="auto"/>
            </w:tcBorders>
          </w:tcPr>
          <w:p w14:paraId="6C780CD7" w14:textId="77777777" w:rsidR="00F866BA" w:rsidRPr="00DD2C9F" w:rsidRDefault="00F866BA" w:rsidP="00D7625B">
            <w:pPr>
              <w:pStyle w:val="FSTableText"/>
              <w:keepNext/>
              <w:keepLines/>
              <w:rPr>
                <w:b/>
                <w:lang w:bidi="ar-SA"/>
              </w:rPr>
            </w:pPr>
          </w:p>
        </w:tc>
        <w:tc>
          <w:tcPr>
            <w:tcW w:w="1599" w:type="dxa"/>
            <w:vMerge/>
            <w:tcBorders>
              <w:left w:val="single" w:sz="4" w:space="0" w:color="auto"/>
              <w:bottom w:val="single" w:sz="4" w:space="0" w:color="auto"/>
              <w:right w:val="single" w:sz="4" w:space="0" w:color="auto"/>
            </w:tcBorders>
            <w:shd w:val="clear" w:color="auto" w:fill="auto"/>
            <w:noWrap/>
            <w:vAlign w:val="bottom"/>
            <w:hideMark/>
          </w:tcPr>
          <w:p w14:paraId="549176A3" w14:textId="77777777" w:rsidR="00F866BA" w:rsidRPr="00DD2C9F" w:rsidRDefault="00F866BA" w:rsidP="00D7625B">
            <w:pPr>
              <w:pStyle w:val="FSTableText"/>
              <w:keepNext/>
              <w:keepLines/>
              <w:rPr>
                <w:b/>
                <w:lang w:bidi="ar-SA"/>
              </w:rPr>
            </w:pPr>
          </w:p>
        </w:tc>
        <w:tc>
          <w:tcPr>
            <w:tcW w:w="1284" w:type="dxa"/>
            <w:vMerge/>
            <w:tcBorders>
              <w:top w:val="single" w:sz="4" w:space="0" w:color="auto"/>
              <w:left w:val="nil"/>
              <w:bottom w:val="single" w:sz="4" w:space="0" w:color="auto"/>
              <w:right w:val="single" w:sz="4" w:space="0" w:color="auto"/>
            </w:tcBorders>
          </w:tcPr>
          <w:p w14:paraId="6B811FA8" w14:textId="77777777" w:rsidR="00F866BA" w:rsidRDefault="00F866BA" w:rsidP="00D7625B">
            <w:pPr>
              <w:pStyle w:val="FSTableText"/>
              <w:keepNext/>
              <w:keepLines/>
              <w:jc w:val="right"/>
              <w:rPr>
                <w:b/>
                <w:lang w:bidi="ar-SA"/>
              </w:rPr>
            </w:pPr>
          </w:p>
        </w:tc>
        <w:tc>
          <w:tcPr>
            <w:tcW w:w="1517" w:type="dxa"/>
            <w:vMerge/>
            <w:tcBorders>
              <w:top w:val="single" w:sz="4" w:space="0" w:color="auto"/>
              <w:left w:val="single" w:sz="4" w:space="0" w:color="auto"/>
              <w:bottom w:val="single" w:sz="4" w:space="0" w:color="auto"/>
              <w:right w:val="single" w:sz="4" w:space="0" w:color="auto"/>
            </w:tcBorders>
          </w:tcPr>
          <w:p w14:paraId="53A86512" w14:textId="77777777" w:rsidR="00F866BA" w:rsidRPr="00066B6A" w:rsidRDefault="00F866BA" w:rsidP="00D7625B">
            <w:pPr>
              <w:pStyle w:val="FSTableText"/>
              <w:keepNext/>
              <w:keepLines/>
              <w:jc w:val="right"/>
              <w:rPr>
                <w:lang w:bidi="ar-SA"/>
              </w:rPr>
            </w:pPr>
          </w:p>
        </w:tc>
        <w:tc>
          <w:tcPr>
            <w:tcW w:w="1034" w:type="dxa"/>
            <w:tcBorders>
              <w:top w:val="nil"/>
              <w:left w:val="single" w:sz="4" w:space="0" w:color="auto"/>
              <w:bottom w:val="single" w:sz="4" w:space="0" w:color="auto"/>
              <w:right w:val="single" w:sz="4" w:space="0" w:color="auto"/>
            </w:tcBorders>
            <w:shd w:val="clear" w:color="auto" w:fill="auto"/>
            <w:vAlign w:val="bottom"/>
            <w:hideMark/>
          </w:tcPr>
          <w:p w14:paraId="7E3A32E2" w14:textId="77777777" w:rsidR="00F866BA" w:rsidRPr="00DD2C9F" w:rsidRDefault="00F866BA" w:rsidP="00D7625B">
            <w:pPr>
              <w:pStyle w:val="FSTableText"/>
              <w:keepNext/>
              <w:keepLines/>
              <w:jc w:val="right"/>
              <w:rPr>
                <w:b/>
                <w:lang w:bidi="ar-SA"/>
              </w:rPr>
            </w:pPr>
            <w:r w:rsidRPr="00C56604">
              <w:rPr>
                <w:b/>
                <w:lang w:bidi="ar-SA"/>
              </w:rPr>
              <w:t>g/day</w:t>
            </w:r>
          </w:p>
        </w:tc>
        <w:tc>
          <w:tcPr>
            <w:tcW w:w="1018" w:type="dxa"/>
            <w:tcBorders>
              <w:top w:val="nil"/>
              <w:left w:val="nil"/>
              <w:bottom w:val="single" w:sz="4" w:space="0" w:color="auto"/>
              <w:right w:val="single" w:sz="4" w:space="0" w:color="auto"/>
            </w:tcBorders>
            <w:shd w:val="clear" w:color="auto" w:fill="auto"/>
            <w:vAlign w:val="bottom"/>
            <w:hideMark/>
          </w:tcPr>
          <w:p w14:paraId="19BF1605" w14:textId="77777777" w:rsidR="00F866BA" w:rsidRPr="00DD2C9F" w:rsidRDefault="00F866BA" w:rsidP="00D7625B">
            <w:pPr>
              <w:pStyle w:val="FSTableText"/>
              <w:keepNext/>
              <w:keepLines/>
              <w:jc w:val="right"/>
              <w:rPr>
                <w:b/>
                <w:lang w:bidi="ar-SA"/>
              </w:rPr>
            </w:pPr>
            <w:r w:rsidRPr="00C56604">
              <w:rPr>
                <w:b/>
                <w:lang w:bidi="ar-SA"/>
              </w:rPr>
              <w:t>g/kg bw/day</w:t>
            </w:r>
          </w:p>
        </w:tc>
        <w:tc>
          <w:tcPr>
            <w:tcW w:w="1050" w:type="dxa"/>
            <w:tcBorders>
              <w:top w:val="nil"/>
              <w:left w:val="nil"/>
              <w:bottom w:val="single" w:sz="4" w:space="0" w:color="auto"/>
              <w:right w:val="single" w:sz="4" w:space="0" w:color="auto"/>
            </w:tcBorders>
            <w:shd w:val="clear" w:color="auto" w:fill="auto"/>
            <w:vAlign w:val="bottom"/>
            <w:hideMark/>
          </w:tcPr>
          <w:p w14:paraId="52BC727D" w14:textId="77777777" w:rsidR="00F866BA" w:rsidRPr="00DD2C9F" w:rsidRDefault="00F866BA" w:rsidP="00D7625B">
            <w:pPr>
              <w:pStyle w:val="FSTableText"/>
              <w:keepNext/>
              <w:keepLines/>
              <w:jc w:val="right"/>
              <w:rPr>
                <w:b/>
                <w:lang w:bidi="ar-SA"/>
              </w:rPr>
            </w:pPr>
            <w:r w:rsidRPr="00C56604">
              <w:rPr>
                <w:b/>
                <w:lang w:bidi="ar-SA"/>
              </w:rPr>
              <w:t>g/day</w:t>
            </w:r>
          </w:p>
        </w:tc>
        <w:tc>
          <w:tcPr>
            <w:tcW w:w="1035" w:type="dxa"/>
            <w:tcBorders>
              <w:top w:val="nil"/>
              <w:left w:val="nil"/>
              <w:bottom w:val="single" w:sz="4" w:space="0" w:color="auto"/>
              <w:right w:val="single" w:sz="4" w:space="0" w:color="auto"/>
            </w:tcBorders>
            <w:shd w:val="clear" w:color="auto" w:fill="auto"/>
            <w:vAlign w:val="bottom"/>
            <w:hideMark/>
          </w:tcPr>
          <w:p w14:paraId="228119DA" w14:textId="77777777" w:rsidR="00F866BA" w:rsidRPr="00DD2C9F" w:rsidRDefault="00F866BA" w:rsidP="00D7625B">
            <w:pPr>
              <w:pStyle w:val="FSTableText"/>
              <w:keepNext/>
              <w:keepLines/>
              <w:jc w:val="right"/>
              <w:rPr>
                <w:b/>
                <w:lang w:bidi="ar-SA"/>
              </w:rPr>
            </w:pPr>
            <w:r w:rsidRPr="00C56604">
              <w:rPr>
                <w:b/>
                <w:lang w:bidi="ar-SA"/>
              </w:rPr>
              <w:t>g/kg bw/day</w:t>
            </w:r>
          </w:p>
        </w:tc>
      </w:tr>
      <w:tr w:rsidR="00F866BA" w:rsidRPr="000D2A80" w14:paraId="26ADE082" w14:textId="77777777" w:rsidTr="00D7625B">
        <w:trPr>
          <w:trHeight w:val="300"/>
        </w:trPr>
        <w:tc>
          <w:tcPr>
            <w:tcW w:w="1061" w:type="dxa"/>
            <w:tcBorders>
              <w:top w:val="nil"/>
              <w:left w:val="single" w:sz="4" w:space="0" w:color="auto"/>
              <w:bottom w:val="single" w:sz="4" w:space="0" w:color="auto"/>
              <w:right w:val="single" w:sz="4" w:space="0" w:color="auto"/>
            </w:tcBorders>
          </w:tcPr>
          <w:p w14:paraId="45F40D4F" w14:textId="77777777" w:rsidR="00F866BA" w:rsidRPr="00DD2C9F" w:rsidRDefault="00F866BA" w:rsidP="00D7625B">
            <w:pPr>
              <w:pStyle w:val="FSTableText"/>
              <w:keepNext/>
              <w:keepLines/>
              <w:rPr>
                <w:lang w:bidi="ar-SA"/>
              </w:rPr>
            </w:pPr>
            <w:r w:rsidRPr="00DD2C9F">
              <w:rPr>
                <w:lang w:bidi="ar-SA"/>
              </w:rPr>
              <w:t>Australia</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6FD5" w14:textId="77777777" w:rsidR="00F866BA" w:rsidRPr="00DD2C9F" w:rsidRDefault="00F866BA" w:rsidP="00D7625B">
            <w:pPr>
              <w:pStyle w:val="FSTableText"/>
              <w:keepNext/>
              <w:keepLines/>
              <w:rPr>
                <w:lang w:bidi="ar-SA"/>
              </w:rPr>
            </w:pPr>
            <w:r w:rsidRPr="00DD2C9F">
              <w:rPr>
                <w:lang w:bidi="ar-SA"/>
              </w:rPr>
              <w:t>2 years and above</w:t>
            </w:r>
          </w:p>
        </w:tc>
        <w:tc>
          <w:tcPr>
            <w:tcW w:w="1284" w:type="dxa"/>
            <w:tcBorders>
              <w:top w:val="single" w:sz="4" w:space="0" w:color="auto"/>
              <w:left w:val="nil"/>
              <w:bottom w:val="single" w:sz="4" w:space="0" w:color="auto"/>
              <w:right w:val="single" w:sz="4" w:space="0" w:color="auto"/>
            </w:tcBorders>
            <w:vAlign w:val="center"/>
          </w:tcPr>
          <w:p w14:paraId="6B6219F0" w14:textId="77777777" w:rsidR="00F866BA" w:rsidRDefault="00F866BA" w:rsidP="00D7625B">
            <w:pPr>
              <w:pStyle w:val="FSTableText"/>
              <w:keepNext/>
              <w:keepLines/>
              <w:jc w:val="right"/>
              <w:rPr>
                <w:lang w:bidi="ar-SA"/>
              </w:rPr>
            </w:pPr>
            <w:r>
              <w:rPr>
                <w:lang w:bidi="ar-SA"/>
              </w:rPr>
              <w:t>7735</w:t>
            </w:r>
          </w:p>
        </w:tc>
        <w:tc>
          <w:tcPr>
            <w:tcW w:w="1517" w:type="dxa"/>
            <w:tcBorders>
              <w:top w:val="single" w:sz="4" w:space="0" w:color="auto"/>
              <w:left w:val="single" w:sz="4" w:space="0" w:color="auto"/>
              <w:bottom w:val="single" w:sz="4" w:space="0" w:color="auto"/>
              <w:right w:val="single" w:sz="4" w:space="0" w:color="auto"/>
            </w:tcBorders>
            <w:vAlign w:val="center"/>
          </w:tcPr>
          <w:p w14:paraId="2D8A0B0B" w14:textId="77777777" w:rsidR="00F866BA" w:rsidRPr="00C56604" w:rsidRDefault="00F866BA" w:rsidP="00D7625B">
            <w:pPr>
              <w:pStyle w:val="FSTableText"/>
              <w:keepNext/>
              <w:keepLines/>
              <w:tabs>
                <w:tab w:val="decimal" w:pos="1134"/>
              </w:tabs>
              <w:rPr>
                <w:lang w:bidi="ar-SA"/>
              </w:rPr>
            </w:pPr>
            <w:r>
              <w:rPr>
                <w:lang w:bidi="ar-SA"/>
              </w:rPr>
              <w:t>100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23D66C68" w14:textId="77777777" w:rsidR="00F866BA" w:rsidRPr="000B574D" w:rsidRDefault="00F866BA" w:rsidP="00D7625B">
            <w:pPr>
              <w:pStyle w:val="FSTableText"/>
              <w:keepNext/>
              <w:keepLines/>
              <w:jc w:val="right"/>
              <w:rPr>
                <w:lang w:bidi="ar-SA"/>
              </w:rPr>
            </w:pPr>
            <w:r w:rsidRPr="000B574D">
              <w:rPr>
                <w:lang w:bidi="ar-SA"/>
              </w:rPr>
              <w:t>40.2</w:t>
            </w:r>
          </w:p>
        </w:tc>
        <w:tc>
          <w:tcPr>
            <w:tcW w:w="1018" w:type="dxa"/>
            <w:tcBorders>
              <w:top w:val="nil"/>
              <w:left w:val="nil"/>
              <w:bottom w:val="single" w:sz="4" w:space="0" w:color="auto"/>
              <w:right w:val="single" w:sz="4" w:space="0" w:color="auto"/>
            </w:tcBorders>
            <w:shd w:val="clear" w:color="auto" w:fill="auto"/>
            <w:noWrap/>
            <w:vAlign w:val="center"/>
          </w:tcPr>
          <w:p w14:paraId="7409893A" w14:textId="77777777" w:rsidR="00F866BA" w:rsidRPr="000B574D" w:rsidRDefault="00F866BA" w:rsidP="00D7625B">
            <w:pPr>
              <w:pStyle w:val="FSTableText"/>
              <w:keepNext/>
              <w:keepLines/>
              <w:jc w:val="right"/>
              <w:rPr>
                <w:lang w:bidi="ar-SA"/>
              </w:rPr>
            </w:pPr>
            <w:r w:rsidRPr="000B574D">
              <w:rPr>
                <w:lang w:bidi="ar-SA"/>
              </w:rPr>
              <w:t>0.67</w:t>
            </w:r>
          </w:p>
        </w:tc>
        <w:tc>
          <w:tcPr>
            <w:tcW w:w="1050" w:type="dxa"/>
            <w:tcBorders>
              <w:top w:val="nil"/>
              <w:left w:val="nil"/>
              <w:bottom w:val="single" w:sz="4" w:space="0" w:color="auto"/>
              <w:right w:val="single" w:sz="4" w:space="0" w:color="auto"/>
            </w:tcBorders>
            <w:shd w:val="clear" w:color="auto" w:fill="auto"/>
            <w:noWrap/>
            <w:vAlign w:val="center"/>
          </w:tcPr>
          <w:p w14:paraId="2CE25FCC" w14:textId="77777777" w:rsidR="00F866BA" w:rsidRPr="000B574D" w:rsidRDefault="00F866BA" w:rsidP="00D7625B">
            <w:pPr>
              <w:pStyle w:val="FSTableText"/>
              <w:keepNext/>
              <w:keepLines/>
              <w:jc w:val="right"/>
              <w:rPr>
                <w:lang w:bidi="ar-SA"/>
              </w:rPr>
            </w:pPr>
            <w:r w:rsidRPr="000B574D">
              <w:rPr>
                <w:lang w:bidi="ar-SA"/>
              </w:rPr>
              <w:t>74.2</w:t>
            </w:r>
          </w:p>
        </w:tc>
        <w:tc>
          <w:tcPr>
            <w:tcW w:w="1035" w:type="dxa"/>
            <w:tcBorders>
              <w:top w:val="nil"/>
              <w:left w:val="nil"/>
              <w:bottom w:val="single" w:sz="4" w:space="0" w:color="auto"/>
              <w:right w:val="single" w:sz="4" w:space="0" w:color="auto"/>
            </w:tcBorders>
            <w:shd w:val="clear" w:color="auto" w:fill="auto"/>
            <w:noWrap/>
            <w:vAlign w:val="center"/>
          </w:tcPr>
          <w:p w14:paraId="0381D3FA" w14:textId="77777777" w:rsidR="00F866BA" w:rsidRPr="000B574D" w:rsidRDefault="00F866BA" w:rsidP="00D7625B">
            <w:pPr>
              <w:pStyle w:val="FSTableText"/>
              <w:keepNext/>
              <w:keepLines/>
              <w:jc w:val="right"/>
              <w:rPr>
                <w:lang w:bidi="ar-SA"/>
              </w:rPr>
            </w:pPr>
            <w:r w:rsidRPr="000B574D">
              <w:rPr>
                <w:lang w:bidi="ar-SA"/>
              </w:rPr>
              <w:t>1.33</w:t>
            </w:r>
          </w:p>
        </w:tc>
      </w:tr>
      <w:tr w:rsidR="00F866BA" w:rsidRPr="000D2A80" w14:paraId="17D1CB4C" w14:textId="77777777" w:rsidTr="00D7625B">
        <w:trPr>
          <w:trHeight w:val="300"/>
        </w:trPr>
        <w:tc>
          <w:tcPr>
            <w:tcW w:w="1061" w:type="dxa"/>
            <w:vMerge w:val="restart"/>
            <w:tcBorders>
              <w:top w:val="nil"/>
              <w:left w:val="single" w:sz="4" w:space="0" w:color="auto"/>
              <w:right w:val="single" w:sz="4" w:space="0" w:color="auto"/>
            </w:tcBorders>
          </w:tcPr>
          <w:p w14:paraId="778AA806" w14:textId="77777777" w:rsidR="00F866BA" w:rsidRPr="00DD2C9F" w:rsidRDefault="00F866BA" w:rsidP="00D7625B">
            <w:pPr>
              <w:pStyle w:val="FSTableText"/>
              <w:keepNext/>
              <w:keepLines/>
              <w:rPr>
                <w:lang w:bidi="ar-SA"/>
              </w:rPr>
            </w:pPr>
            <w:r w:rsidRPr="00DD2C9F">
              <w:rPr>
                <w:lang w:bidi="ar-SA"/>
              </w:rPr>
              <w:t>New Zealand</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1D5CF55A" w14:textId="77777777" w:rsidR="00F866BA" w:rsidRPr="00DD2C9F" w:rsidRDefault="00F866BA" w:rsidP="00D7625B">
            <w:pPr>
              <w:pStyle w:val="FSTableText"/>
              <w:keepNext/>
              <w:keepLines/>
              <w:rPr>
                <w:lang w:bidi="ar-SA"/>
              </w:rPr>
            </w:pPr>
            <w:r w:rsidRPr="00DD2C9F">
              <w:rPr>
                <w:lang w:bidi="ar-SA"/>
              </w:rPr>
              <w:t>Children 5-14 years</w:t>
            </w:r>
            <w:r>
              <w:rPr>
                <w:lang w:bidi="ar-SA"/>
              </w:rPr>
              <w:t>**</w:t>
            </w:r>
          </w:p>
        </w:tc>
        <w:tc>
          <w:tcPr>
            <w:tcW w:w="1284" w:type="dxa"/>
            <w:tcBorders>
              <w:top w:val="single" w:sz="4" w:space="0" w:color="auto"/>
              <w:left w:val="nil"/>
              <w:bottom w:val="single" w:sz="4" w:space="0" w:color="auto"/>
              <w:right w:val="single" w:sz="4" w:space="0" w:color="auto"/>
            </w:tcBorders>
            <w:vAlign w:val="center"/>
          </w:tcPr>
          <w:p w14:paraId="123D4B40" w14:textId="77777777" w:rsidR="00F866BA" w:rsidRDefault="00F866BA" w:rsidP="00D7625B">
            <w:pPr>
              <w:pStyle w:val="FSTableText"/>
              <w:keepNext/>
              <w:keepLines/>
              <w:jc w:val="right"/>
              <w:rPr>
                <w:lang w:bidi="ar-SA"/>
              </w:rPr>
            </w:pPr>
            <w:r>
              <w:rPr>
                <w:lang w:bidi="ar-SA"/>
              </w:rPr>
              <w:t>3275</w:t>
            </w:r>
          </w:p>
        </w:tc>
        <w:tc>
          <w:tcPr>
            <w:tcW w:w="1517" w:type="dxa"/>
            <w:tcBorders>
              <w:top w:val="single" w:sz="4" w:space="0" w:color="auto"/>
              <w:left w:val="single" w:sz="4" w:space="0" w:color="auto"/>
              <w:bottom w:val="single" w:sz="4" w:space="0" w:color="auto"/>
              <w:right w:val="single" w:sz="4" w:space="0" w:color="auto"/>
            </w:tcBorders>
            <w:vAlign w:val="center"/>
          </w:tcPr>
          <w:p w14:paraId="547C89A6" w14:textId="77777777" w:rsidR="00F866BA" w:rsidRPr="00C56604" w:rsidRDefault="00F866BA" w:rsidP="00D7625B">
            <w:pPr>
              <w:pStyle w:val="FSTableText"/>
              <w:keepNext/>
              <w:keepLines/>
              <w:tabs>
                <w:tab w:val="decimal" w:pos="1134"/>
              </w:tabs>
              <w:rPr>
                <w:lang w:bidi="ar-SA"/>
              </w:rPr>
            </w:pPr>
            <w:r>
              <w:rPr>
                <w:lang w:bidi="ar-SA"/>
              </w:rPr>
              <w:t>100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48B9965F" w14:textId="77777777" w:rsidR="00F866BA" w:rsidRPr="000B574D" w:rsidRDefault="00F866BA" w:rsidP="00D7625B">
            <w:pPr>
              <w:pStyle w:val="FSTableText"/>
              <w:keepNext/>
              <w:keepLines/>
              <w:jc w:val="right"/>
              <w:rPr>
                <w:lang w:bidi="ar-SA"/>
              </w:rPr>
            </w:pPr>
            <w:r w:rsidRPr="000B574D">
              <w:rPr>
                <w:lang w:bidi="ar-SA"/>
              </w:rPr>
              <w:t>45.2</w:t>
            </w:r>
          </w:p>
        </w:tc>
        <w:tc>
          <w:tcPr>
            <w:tcW w:w="1018" w:type="dxa"/>
            <w:tcBorders>
              <w:top w:val="nil"/>
              <w:left w:val="nil"/>
              <w:bottom w:val="single" w:sz="4" w:space="0" w:color="auto"/>
              <w:right w:val="single" w:sz="4" w:space="0" w:color="auto"/>
            </w:tcBorders>
            <w:shd w:val="clear" w:color="auto" w:fill="auto"/>
            <w:noWrap/>
            <w:vAlign w:val="center"/>
          </w:tcPr>
          <w:p w14:paraId="12CA9806" w14:textId="77777777" w:rsidR="00F866BA" w:rsidRPr="000B574D" w:rsidRDefault="00F866BA" w:rsidP="00D7625B">
            <w:pPr>
              <w:pStyle w:val="FSTableText"/>
              <w:keepNext/>
              <w:keepLines/>
              <w:jc w:val="right"/>
              <w:rPr>
                <w:lang w:bidi="ar-SA"/>
              </w:rPr>
            </w:pPr>
            <w:r w:rsidRPr="000B574D">
              <w:rPr>
                <w:lang w:bidi="ar-SA"/>
              </w:rPr>
              <w:t>1.25</w:t>
            </w:r>
          </w:p>
        </w:tc>
        <w:tc>
          <w:tcPr>
            <w:tcW w:w="1050" w:type="dxa"/>
            <w:tcBorders>
              <w:top w:val="nil"/>
              <w:left w:val="nil"/>
              <w:bottom w:val="single" w:sz="4" w:space="0" w:color="auto"/>
              <w:right w:val="single" w:sz="4" w:space="0" w:color="auto"/>
            </w:tcBorders>
            <w:shd w:val="clear" w:color="auto" w:fill="auto"/>
            <w:noWrap/>
            <w:vAlign w:val="center"/>
          </w:tcPr>
          <w:p w14:paraId="0136EC09" w14:textId="77777777" w:rsidR="00F866BA" w:rsidRPr="000B574D" w:rsidRDefault="00F866BA" w:rsidP="00D7625B">
            <w:pPr>
              <w:pStyle w:val="FSTableText"/>
              <w:keepNext/>
              <w:keepLines/>
              <w:jc w:val="right"/>
              <w:rPr>
                <w:lang w:bidi="ar-SA"/>
              </w:rPr>
            </w:pPr>
            <w:r w:rsidRPr="000B574D">
              <w:rPr>
                <w:lang w:bidi="ar-SA"/>
              </w:rPr>
              <w:t>77.7</w:t>
            </w:r>
          </w:p>
        </w:tc>
        <w:tc>
          <w:tcPr>
            <w:tcW w:w="1035" w:type="dxa"/>
            <w:tcBorders>
              <w:top w:val="nil"/>
              <w:left w:val="nil"/>
              <w:bottom w:val="single" w:sz="4" w:space="0" w:color="auto"/>
              <w:right w:val="single" w:sz="4" w:space="0" w:color="auto"/>
            </w:tcBorders>
            <w:shd w:val="clear" w:color="auto" w:fill="auto"/>
            <w:noWrap/>
            <w:vAlign w:val="center"/>
          </w:tcPr>
          <w:p w14:paraId="3309BE2E" w14:textId="77777777" w:rsidR="00F866BA" w:rsidRPr="000B574D" w:rsidRDefault="00F866BA" w:rsidP="00D7625B">
            <w:pPr>
              <w:pStyle w:val="FSTableText"/>
              <w:keepNext/>
              <w:keepLines/>
              <w:jc w:val="right"/>
              <w:rPr>
                <w:lang w:bidi="ar-SA"/>
              </w:rPr>
            </w:pPr>
            <w:r w:rsidRPr="000B574D">
              <w:rPr>
                <w:lang w:bidi="ar-SA"/>
              </w:rPr>
              <w:t>2.28</w:t>
            </w:r>
          </w:p>
        </w:tc>
      </w:tr>
      <w:tr w:rsidR="00F866BA" w:rsidRPr="000D2A80" w14:paraId="13B9F987" w14:textId="77777777" w:rsidTr="00D7625B">
        <w:trPr>
          <w:trHeight w:val="300"/>
        </w:trPr>
        <w:tc>
          <w:tcPr>
            <w:tcW w:w="1061" w:type="dxa"/>
            <w:vMerge/>
            <w:tcBorders>
              <w:left w:val="single" w:sz="4" w:space="0" w:color="auto"/>
              <w:bottom w:val="single" w:sz="4" w:space="0" w:color="auto"/>
              <w:right w:val="single" w:sz="4" w:space="0" w:color="auto"/>
            </w:tcBorders>
          </w:tcPr>
          <w:p w14:paraId="6670E6C1" w14:textId="77777777" w:rsidR="00F866BA" w:rsidRPr="00DD2C9F" w:rsidRDefault="00F866BA" w:rsidP="00D7625B">
            <w:pPr>
              <w:pStyle w:val="FSTableText"/>
              <w:keepNext/>
              <w:keepLines/>
              <w:rPr>
                <w:lang w:bidi="ar-SA"/>
              </w:rPr>
            </w:pP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14516EE4" w14:textId="77777777" w:rsidR="00F866BA" w:rsidRPr="00DD2C9F" w:rsidRDefault="00F866BA" w:rsidP="00D7625B">
            <w:pPr>
              <w:pStyle w:val="FSTableText"/>
              <w:keepNext/>
              <w:keepLines/>
              <w:rPr>
                <w:lang w:bidi="ar-SA"/>
              </w:rPr>
            </w:pPr>
            <w:r w:rsidRPr="00DD2C9F">
              <w:rPr>
                <w:lang w:bidi="ar-SA"/>
              </w:rPr>
              <w:t>15 years and above</w:t>
            </w:r>
          </w:p>
        </w:tc>
        <w:tc>
          <w:tcPr>
            <w:tcW w:w="1284" w:type="dxa"/>
            <w:tcBorders>
              <w:top w:val="single" w:sz="4" w:space="0" w:color="auto"/>
              <w:left w:val="nil"/>
              <w:bottom w:val="single" w:sz="4" w:space="0" w:color="auto"/>
              <w:right w:val="single" w:sz="4" w:space="0" w:color="auto"/>
            </w:tcBorders>
            <w:vAlign w:val="center"/>
          </w:tcPr>
          <w:p w14:paraId="1317EADC" w14:textId="77777777" w:rsidR="00F866BA" w:rsidRDefault="00F866BA" w:rsidP="00D7625B">
            <w:pPr>
              <w:pStyle w:val="FSTableText"/>
              <w:keepNext/>
              <w:keepLines/>
              <w:jc w:val="right"/>
              <w:rPr>
                <w:lang w:bidi="ar-SA"/>
              </w:rPr>
            </w:pPr>
            <w:r>
              <w:rPr>
                <w:lang w:bidi="ar-SA"/>
              </w:rPr>
              <w:t>4703</w:t>
            </w:r>
          </w:p>
        </w:tc>
        <w:tc>
          <w:tcPr>
            <w:tcW w:w="1517" w:type="dxa"/>
            <w:tcBorders>
              <w:top w:val="single" w:sz="4" w:space="0" w:color="auto"/>
              <w:left w:val="single" w:sz="4" w:space="0" w:color="auto"/>
              <w:bottom w:val="single" w:sz="4" w:space="0" w:color="auto"/>
              <w:right w:val="single" w:sz="4" w:space="0" w:color="auto"/>
            </w:tcBorders>
            <w:vAlign w:val="center"/>
          </w:tcPr>
          <w:p w14:paraId="1799BF15" w14:textId="77777777" w:rsidR="00F866BA" w:rsidRPr="00C56604" w:rsidRDefault="00F866BA" w:rsidP="00D7625B">
            <w:pPr>
              <w:pStyle w:val="FSTableText"/>
              <w:keepNext/>
              <w:keepLines/>
              <w:tabs>
                <w:tab w:val="decimal" w:pos="1134"/>
              </w:tabs>
              <w:rPr>
                <w:lang w:bidi="ar-SA"/>
              </w:rPr>
            </w:pPr>
            <w:r>
              <w:rPr>
                <w:lang w:bidi="ar-SA"/>
              </w:rPr>
              <w:t>99.6</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00445536" w14:textId="77777777" w:rsidR="00F866BA" w:rsidRPr="000B574D" w:rsidRDefault="00F866BA" w:rsidP="00D7625B">
            <w:pPr>
              <w:pStyle w:val="FSTableText"/>
              <w:keepNext/>
              <w:keepLines/>
              <w:jc w:val="right"/>
              <w:rPr>
                <w:lang w:bidi="ar-SA"/>
              </w:rPr>
            </w:pPr>
            <w:r w:rsidRPr="000B574D">
              <w:rPr>
                <w:lang w:bidi="ar-SA"/>
              </w:rPr>
              <w:t>42.1</w:t>
            </w:r>
          </w:p>
        </w:tc>
        <w:tc>
          <w:tcPr>
            <w:tcW w:w="1018" w:type="dxa"/>
            <w:tcBorders>
              <w:top w:val="nil"/>
              <w:left w:val="nil"/>
              <w:bottom w:val="single" w:sz="4" w:space="0" w:color="auto"/>
              <w:right w:val="single" w:sz="4" w:space="0" w:color="auto"/>
            </w:tcBorders>
            <w:shd w:val="clear" w:color="auto" w:fill="auto"/>
            <w:noWrap/>
            <w:vAlign w:val="center"/>
          </w:tcPr>
          <w:p w14:paraId="58859E28" w14:textId="77777777" w:rsidR="00F866BA" w:rsidRPr="000B574D" w:rsidRDefault="00F866BA" w:rsidP="00D7625B">
            <w:pPr>
              <w:pStyle w:val="FSTableText"/>
              <w:keepNext/>
              <w:keepLines/>
              <w:jc w:val="right"/>
              <w:rPr>
                <w:lang w:bidi="ar-SA"/>
              </w:rPr>
            </w:pPr>
            <w:r w:rsidRPr="000B574D">
              <w:rPr>
                <w:lang w:bidi="ar-SA"/>
              </w:rPr>
              <w:t>0.55</w:t>
            </w:r>
          </w:p>
        </w:tc>
        <w:tc>
          <w:tcPr>
            <w:tcW w:w="1050" w:type="dxa"/>
            <w:tcBorders>
              <w:top w:val="nil"/>
              <w:left w:val="nil"/>
              <w:bottom w:val="single" w:sz="4" w:space="0" w:color="auto"/>
              <w:right w:val="single" w:sz="4" w:space="0" w:color="auto"/>
            </w:tcBorders>
            <w:shd w:val="clear" w:color="auto" w:fill="auto"/>
            <w:noWrap/>
            <w:vAlign w:val="center"/>
          </w:tcPr>
          <w:p w14:paraId="19113E73" w14:textId="77777777" w:rsidR="00F866BA" w:rsidRPr="000B574D" w:rsidRDefault="00F866BA" w:rsidP="00D7625B">
            <w:pPr>
              <w:pStyle w:val="FSTableText"/>
              <w:keepNext/>
              <w:keepLines/>
              <w:jc w:val="right"/>
              <w:rPr>
                <w:lang w:bidi="ar-SA"/>
              </w:rPr>
            </w:pPr>
            <w:r w:rsidRPr="000B574D">
              <w:rPr>
                <w:lang w:bidi="ar-SA"/>
              </w:rPr>
              <w:t>82.8</w:t>
            </w:r>
          </w:p>
        </w:tc>
        <w:tc>
          <w:tcPr>
            <w:tcW w:w="1035" w:type="dxa"/>
            <w:tcBorders>
              <w:top w:val="nil"/>
              <w:left w:val="nil"/>
              <w:bottom w:val="single" w:sz="4" w:space="0" w:color="auto"/>
              <w:right w:val="single" w:sz="4" w:space="0" w:color="auto"/>
            </w:tcBorders>
            <w:shd w:val="clear" w:color="auto" w:fill="auto"/>
            <w:noWrap/>
            <w:vAlign w:val="center"/>
          </w:tcPr>
          <w:p w14:paraId="45958271" w14:textId="77777777" w:rsidR="00F866BA" w:rsidRPr="000B574D" w:rsidRDefault="00F866BA" w:rsidP="00D7625B">
            <w:pPr>
              <w:pStyle w:val="FSTableText"/>
              <w:keepNext/>
              <w:keepLines/>
              <w:jc w:val="right"/>
              <w:rPr>
                <w:lang w:bidi="ar-SA"/>
              </w:rPr>
            </w:pPr>
            <w:r w:rsidRPr="000B574D">
              <w:rPr>
                <w:lang w:bidi="ar-SA"/>
              </w:rPr>
              <w:t>1.09</w:t>
            </w:r>
          </w:p>
        </w:tc>
      </w:tr>
    </w:tbl>
    <w:p w14:paraId="60A666AA" w14:textId="77777777" w:rsidR="00F866BA" w:rsidRDefault="00F866BA" w:rsidP="00F866BA">
      <w:pPr>
        <w:keepNext/>
        <w:keepLines/>
        <w:ind w:left="284" w:hanging="284"/>
        <w:rPr>
          <w:sz w:val="18"/>
        </w:rPr>
      </w:pPr>
      <w:bookmarkStart w:id="1396" w:name="_Toc38549510"/>
      <w:bookmarkStart w:id="1397" w:name="_Toc38634173"/>
      <w:r w:rsidRPr="005F6122">
        <w:rPr>
          <w:sz w:val="18"/>
        </w:rPr>
        <w:t>* Estimated dietary exposures are based on the average of two days of data for Australia, and only one day of data for New Zealand.</w:t>
      </w:r>
    </w:p>
    <w:p w14:paraId="6ABD718E" w14:textId="77777777" w:rsidR="00F866BA" w:rsidRPr="005D16DC" w:rsidRDefault="00F866BA" w:rsidP="00F866BA">
      <w:pPr>
        <w:keepNext/>
        <w:keepLines/>
        <w:ind w:left="284" w:hanging="284"/>
        <w:rPr>
          <w:sz w:val="18"/>
        </w:rPr>
      </w:pPr>
      <w:r w:rsidRPr="005D16DC">
        <w:rPr>
          <w:sz w:val="18"/>
        </w:rPr>
        <w:t xml:space="preserve">** As a comparison, </w:t>
      </w:r>
      <w:r>
        <w:rPr>
          <w:sz w:val="18"/>
        </w:rPr>
        <w:t>estimated 2-day average dietary exposures for Australian children aged 5-14 years (to match the age range for New Zealand) were 1.16 g/kg bw/day at the mean and 1.91 g/kg bw/day at the 90</w:t>
      </w:r>
      <w:r w:rsidRPr="001802B9">
        <w:rPr>
          <w:sz w:val="18"/>
          <w:vertAlign w:val="superscript"/>
        </w:rPr>
        <w:t>th</w:t>
      </w:r>
      <w:r>
        <w:rPr>
          <w:sz w:val="18"/>
        </w:rPr>
        <w:t xml:space="preserve"> percentile; and for children 2-14 years were 1.27 g/kg bw/day at the mean and 2.18 g/kg bw/day at the 90</w:t>
      </w:r>
      <w:r w:rsidRPr="001802B9">
        <w:rPr>
          <w:sz w:val="18"/>
          <w:vertAlign w:val="superscript"/>
        </w:rPr>
        <w:t>th</w:t>
      </w:r>
      <w:r>
        <w:rPr>
          <w:sz w:val="18"/>
        </w:rPr>
        <w:t xml:space="preserve"> percentile.</w:t>
      </w:r>
    </w:p>
    <w:p w14:paraId="00BA40B6" w14:textId="539070ED" w:rsidR="00F866BA" w:rsidRDefault="00F866BA" w:rsidP="00F866BA">
      <w:pPr>
        <w:pStyle w:val="Heading3"/>
      </w:pPr>
      <w:bookmarkStart w:id="1398" w:name="_Toc39571052"/>
      <w:bookmarkStart w:id="1399" w:name="_Toc39579308"/>
      <w:bookmarkStart w:id="1400" w:name="_Toc39579371"/>
      <w:bookmarkStart w:id="1401" w:name="_Toc39587129"/>
      <w:bookmarkStart w:id="1402" w:name="_Toc39582521"/>
      <w:bookmarkStart w:id="1403" w:name="_Toc40264940"/>
      <w:bookmarkStart w:id="1404" w:name="_Toc40266416"/>
      <w:bookmarkStart w:id="1405" w:name="_Toc40279749"/>
      <w:bookmarkStart w:id="1406" w:name="_Toc40282051"/>
      <w:bookmarkStart w:id="1407" w:name="_Toc40282213"/>
      <w:bookmarkStart w:id="1408" w:name="_Toc40360543"/>
      <w:bookmarkStart w:id="1409" w:name="_Toc40353586"/>
      <w:bookmarkStart w:id="1410" w:name="_Toc40366933"/>
      <w:bookmarkStart w:id="1411" w:name="_Toc40368265"/>
      <w:bookmarkStart w:id="1412" w:name="_Toc40382871"/>
      <w:bookmarkStart w:id="1413" w:name="_Toc40431070"/>
      <w:bookmarkStart w:id="1414" w:name="_Toc40433008"/>
      <w:bookmarkStart w:id="1415" w:name="_Toc40447693"/>
      <w:bookmarkStart w:id="1416" w:name="_Toc40441222"/>
      <w:bookmarkStart w:id="1417" w:name="_Toc40448558"/>
      <w:bookmarkStart w:id="1418" w:name="_Toc40449986"/>
      <w:bookmarkStart w:id="1419" w:name="_Toc40968330"/>
      <w:bookmarkStart w:id="1420" w:name="_Toc41051052"/>
      <w:bookmarkStart w:id="1421" w:name="_Toc41046052"/>
      <w:bookmarkStart w:id="1422" w:name="_Toc41053510"/>
      <w:bookmarkStart w:id="1423" w:name="_Toc44592681"/>
      <w:bookmarkStart w:id="1424" w:name="_Toc44596194"/>
      <w:bookmarkStart w:id="1425" w:name="_Toc44604589"/>
      <w:bookmarkStart w:id="1426" w:name="_Toc54169737"/>
      <w:bookmarkStart w:id="1427" w:name="_Toc56090026"/>
      <w:r>
        <w:t>6.3.2</w:t>
      </w:r>
      <w:r>
        <w:tab/>
        <w:t>Estimated dietary exposures to erucic acid and glucosinolates</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04513DB8" w14:textId="77777777" w:rsidR="00F866BA" w:rsidRDefault="00F866BA" w:rsidP="00F866BA">
      <w:pPr>
        <w:rPr>
          <w:lang w:bidi="ar-SA"/>
        </w:rPr>
      </w:pPr>
      <w:r w:rsidRPr="00047F90">
        <w:t>Estimated daily dietary exposure</w:t>
      </w:r>
      <w:r>
        <w:t>s</w:t>
      </w:r>
      <w:r w:rsidRPr="00047F90">
        <w:t xml:space="preserve"> to erucic acid and glucosinolates were calculated as mean and 90</w:t>
      </w:r>
      <w:r w:rsidRPr="009553A9">
        <w:rPr>
          <w:vertAlign w:val="superscript"/>
        </w:rPr>
        <w:t>th</w:t>
      </w:r>
      <w:r w:rsidRPr="00047F90">
        <w:t xml:space="preserve"> percentile in mg/day and mg/kg body weight/day for </w:t>
      </w:r>
      <w:r>
        <w:t>Australian and New Zealand population</w:t>
      </w:r>
      <w:r w:rsidRPr="00047F90">
        <w:t xml:space="preserve"> groups.</w:t>
      </w:r>
    </w:p>
    <w:p w14:paraId="3BB966C8" w14:textId="77777777" w:rsidR="00F866BA" w:rsidRDefault="00F866BA" w:rsidP="00F866BA">
      <w:pPr>
        <w:pStyle w:val="Heading4"/>
      </w:pPr>
      <w:r>
        <w:t>6.3.2.1</w:t>
      </w:r>
      <w:r>
        <w:tab/>
        <w:t>Erucic acid</w:t>
      </w:r>
    </w:p>
    <w:p w14:paraId="52A8C8B3" w14:textId="77777777" w:rsidR="00F866BA" w:rsidRDefault="00F866BA" w:rsidP="00F866BA">
      <w:pPr>
        <w:pStyle w:val="Heading5"/>
      </w:pPr>
      <w:r w:rsidRPr="009822B6">
        <w:t>6.3.2.1.1</w:t>
      </w:r>
      <w:r>
        <w:tab/>
        <w:t xml:space="preserve">Dietary exposure to </w:t>
      </w:r>
      <w:r w:rsidRPr="009822B6">
        <w:t xml:space="preserve">erucic acid from </w:t>
      </w:r>
      <w:r w:rsidRPr="00DA0240">
        <w:t>Brassica</w:t>
      </w:r>
      <w:r>
        <w:t xml:space="preserve"> vegetables</w:t>
      </w:r>
    </w:p>
    <w:p w14:paraId="302864E7" w14:textId="77777777" w:rsidR="00F866BA" w:rsidRPr="00BA1BF6" w:rsidRDefault="00F866BA" w:rsidP="00F866BA">
      <w:pPr>
        <w:autoSpaceDE w:val="0"/>
        <w:autoSpaceDN w:val="0"/>
        <w:adjustRightInd w:val="0"/>
      </w:pPr>
      <w:r w:rsidRPr="00BA1BF6">
        <w:t xml:space="preserve">Table 6.4 shows the mean and 90th percentile dietary exposure to erucic acid based on daily consumption of all </w:t>
      </w:r>
      <w:r w:rsidRPr="00DA0240">
        <w:rPr>
          <w:i/>
          <w:lang w:bidi="ar-SA"/>
        </w:rPr>
        <w:t>Brassica</w:t>
      </w:r>
      <w:r>
        <w:rPr>
          <w:i/>
          <w:lang w:bidi="ar-SA"/>
        </w:rPr>
        <w:t>s</w:t>
      </w:r>
      <w:r w:rsidRPr="00BA1BF6">
        <w:t xml:space="preserve"> combined (broccoli, Brussel</w:t>
      </w:r>
      <w:r>
        <w:t>s</w:t>
      </w:r>
      <w:r w:rsidRPr="00BA1BF6">
        <w:t xml:space="preserve"> sprouts, cabbage head and cauliflower).</w:t>
      </w:r>
    </w:p>
    <w:p w14:paraId="18B3BEA6" w14:textId="77777777" w:rsidR="00F866BA" w:rsidRPr="00BA1BF6" w:rsidRDefault="00F866BA" w:rsidP="00F866BA">
      <w:pPr>
        <w:autoSpaceDE w:val="0"/>
        <w:autoSpaceDN w:val="0"/>
        <w:adjustRightInd w:val="0"/>
      </w:pPr>
    </w:p>
    <w:p w14:paraId="42A599C8" w14:textId="77777777" w:rsidR="00F866BA" w:rsidRPr="00BA1BF6" w:rsidRDefault="00F866BA" w:rsidP="00F866BA">
      <w:pPr>
        <w:autoSpaceDE w:val="0"/>
        <w:autoSpaceDN w:val="0"/>
        <w:adjustRightInd w:val="0"/>
      </w:pPr>
      <w:r w:rsidRPr="00BA1BF6">
        <w:t xml:space="preserve">Estimated mean dietary exposures to erucic acid from </w:t>
      </w:r>
      <w:r w:rsidRPr="00DA0240">
        <w:rPr>
          <w:i/>
          <w:lang w:bidi="ar-SA"/>
        </w:rPr>
        <w:t>Brassica</w:t>
      </w:r>
      <w:r>
        <w:rPr>
          <w:i/>
          <w:lang w:bidi="ar-SA"/>
        </w:rPr>
        <w:t>s</w:t>
      </w:r>
      <w:r w:rsidRPr="00BA1BF6">
        <w:t xml:space="preserve"> for Australians aged 2 years and above was 0.18 mg/day. Estimated mean dietary exposure to erucic acid from </w:t>
      </w:r>
      <w:r w:rsidRPr="00DA0240">
        <w:rPr>
          <w:i/>
          <w:lang w:bidi="ar-SA"/>
        </w:rPr>
        <w:t>Brassica</w:t>
      </w:r>
      <w:r>
        <w:rPr>
          <w:i/>
          <w:lang w:bidi="ar-SA"/>
        </w:rPr>
        <w:t>s</w:t>
      </w:r>
      <w:r w:rsidRPr="00BA1BF6">
        <w:t xml:space="preserve"> by New Zealand children 5-14 years and adults 15 years and above were 0.46 mg/day and 0.64 mg/day respectively. When expressed on a body weight basis, estimated mean daily exposure to erucic acid for the Australian aged 2 years and above was 0.003 mg/kg bw/day, while for New Zealand children and adults, it was the same at 0.01 mg/kg bw/day.</w:t>
      </w:r>
    </w:p>
    <w:p w14:paraId="66095F53" w14:textId="77777777" w:rsidR="00F866BA" w:rsidRPr="00BA1BF6" w:rsidRDefault="00F866BA" w:rsidP="00F866BA"/>
    <w:p w14:paraId="109AF2E9" w14:textId="77777777" w:rsidR="00F866BA" w:rsidRPr="00BA1BF6" w:rsidRDefault="00F866BA" w:rsidP="00F866BA">
      <w:pPr>
        <w:autoSpaceDE w:val="0"/>
        <w:autoSpaceDN w:val="0"/>
        <w:adjustRightInd w:val="0"/>
      </w:pPr>
      <w:r w:rsidRPr="00BA1BF6">
        <w:t xml:space="preserve">Estimated 90th percentile dietary exposures to erucic acid from </w:t>
      </w:r>
      <w:r w:rsidRPr="00DA0240">
        <w:rPr>
          <w:i/>
          <w:lang w:bidi="ar-SA"/>
        </w:rPr>
        <w:t>Brassica</w:t>
      </w:r>
      <w:r>
        <w:rPr>
          <w:i/>
          <w:lang w:bidi="ar-SA"/>
        </w:rPr>
        <w:t>s</w:t>
      </w:r>
      <w:r w:rsidRPr="00BA1BF6">
        <w:t xml:space="preserve"> for Australians aged 2 years and above was 0.48 mg/day. Estimated 90th percentile dietary exposure to erucic acid from </w:t>
      </w:r>
      <w:r w:rsidRPr="00DA0240">
        <w:rPr>
          <w:i/>
          <w:lang w:bidi="ar-SA"/>
        </w:rPr>
        <w:t>Brassica</w:t>
      </w:r>
      <w:r>
        <w:rPr>
          <w:i/>
          <w:lang w:bidi="ar-SA"/>
        </w:rPr>
        <w:t>s</w:t>
      </w:r>
      <w:r w:rsidRPr="00BA1BF6">
        <w:t xml:space="preserve"> by New Zealand children 5-14 years and adults 15 years and above were 1.07 mg/day and 1.37 mg/day respectively. When expressed on a body weight basis, estimated 90th percentile daily exposure to erucic acid was 0.01 mg/kg bw/day for Australians aged 2 years and above, and for New Zealand children 0.03 mg/kg bw/day and adults was 0.02 mg/kg bw/day.</w:t>
      </w:r>
    </w:p>
    <w:p w14:paraId="23657C82" w14:textId="77777777" w:rsidR="00F866BA" w:rsidRPr="00BA1BF6" w:rsidRDefault="00F866BA" w:rsidP="00F866BA">
      <w:pPr>
        <w:rPr>
          <w:lang w:bidi="ar-SA"/>
        </w:rPr>
      </w:pPr>
    </w:p>
    <w:p w14:paraId="076652FC" w14:textId="77777777" w:rsidR="00F866BA" w:rsidRPr="001750EE" w:rsidRDefault="00F866BA" w:rsidP="00F866BA">
      <w:pPr>
        <w:keepNext/>
        <w:keepLines/>
        <w:rPr>
          <w:rFonts w:cs="Arial"/>
          <w:b/>
          <w:i/>
          <w:szCs w:val="22"/>
        </w:rPr>
      </w:pPr>
      <w:r w:rsidRPr="001750EE">
        <w:rPr>
          <w:rFonts w:cs="Arial"/>
          <w:b/>
          <w:i/>
          <w:szCs w:val="22"/>
        </w:rPr>
        <w:t>Table 6.4</w:t>
      </w:r>
      <w:r>
        <w:rPr>
          <w:rFonts w:cs="Arial"/>
          <w:b/>
          <w:i/>
          <w:szCs w:val="22"/>
        </w:rPr>
        <w:tab/>
      </w:r>
      <w:r w:rsidRPr="001750EE">
        <w:rPr>
          <w:rFonts w:cs="Arial"/>
          <w:i/>
          <w:szCs w:val="22"/>
        </w:rPr>
        <w:t>Estimated mean and 90</w:t>
      </w:r>
      <w:r w:rsidRPr="001750EE">
        <w:rPr>
          <w:rFonts w:cs="Arial"/>
          <w:i/>
          <w:szCs w:val="22"/>
          <w:vertAlign w:val="superscript"/>
        </w:rPr>
        <w:t>th</w:t>
      </w:r>
      <w:r w:rsidRPr="001750EE">
        <w:rPr>
          <w:rFonts w:cs="Arial"/>
          <w:i/>
          <w:szCs w:val="22"/>
        </w:rPr>
        <w:t xml:space="preserve"> percentile dietary exposure to erucic acid from </w:t>
      </w:r>
      <w:r w:rsidRPr="00DA0240">
        <w:rPr>
          <w:i/>
          <w:lang w:bidi="ar-SA"/>
        </w:rPr>
        <w:t>Brassica</w:t>
      </w:r>
      <w:r w:rsidRPr="001750EE">
        <w:rPr>
          <w:rFonts w:cs="Arial"/>
          <w:i/>
          <w:szCs w:val="22"/>
        </w:rPr>
        <w:t xml:space="preserve"> vegetables</w:t>
      </w:r>
    </w:p>
    <w:p w14:paraId="7B8A3328" w14:textId="77777777" w:rsidR="00F866BA" w:rsidRPr="00C56035" w:rsidRDefault="00F866BA" w:rsidP="00F866BA">
      <w:pPr>
        <w:keepNext/>
        <w:keepLines/>
        <w:rPr>
          <w:rFonts w:cs="Arial"/>
          <w:szCs w:val="22"/>
        </w:rPr>
      </w:pPr>
    </w:p>
    <w:tbl>
      <w:tblPr>
        <w:tblW w:w="9168" w:type="dxa"/>
        <w:tblInd w:w="-5" w:type="dxa"/>
        <w:tblLayout w:type="fixed"/>
        <w:tblLook w:val="04A0" w:firstRow="1" w:lastRow="0" w:firstColumn="1" w:lastColumn="0" w:noHBand="0" w:noVBand="1"/>
        <w:tblCaption w:val="Estimated mean and 90th percentile dietary exposure to erucic acid from brassica vegetables"/>
        <w:tblDescription w:val="Table 6.4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w:tblPr>
      <w:tblGrid>
        <w:gridCol w:w="1061"/>
        <w:gridCol w:w="2341"/>
        <w:gridCol w:w="1122"/>
        <w:gridCol w:w="1548"/>
        <w:gridCol w:w="1548"/>
        <w:gridCol w:w="1548"/>
      </w:tblGrid>
      <w:tr w:rsidR="00F866BA" w:rsidRPr="000D2A80" w14:paraId="1BDAEFF7" w14:textId="77777777" w:rsidTr="00D7625B">
        <w:trPr>
          <w:trHeight w:val="300"/>
        </w:trPr>
        <w:tc>
          <w:tcPr>
            <w:tcW w:w="1061" w:type="dxa"/>
            <w:vMerge w:val="restart"/>
            <w:tcBorders>
              <w:top w:val="single" w:sz="4" w:space="0" w:color="auto"/>
              <w:left w:val="single" w:sz="4" w:space="0" w:color="auto"/>
              <w:right w:val="single" w:sz="4" w:space="0" w:color="auto"/>
            </w:tcBorders>
            <w:vAlign w:val="bottom"/>
          </w:tcPr>
          <w:p w14:paraId="7FD98CC6" w14:textId="77777777" w:rsidR="00F866BA" w:rsidRPr="00DD2C9F" w:rsidRDefault="00F866BA" w:rsidP="00D7625B">
            <w:pPr>
              <w:pStyle w:val="FSTableText"/>
              <w:keepNext/>
              <w:keepLines/>
              <w:rPr>
                <w:b/>
                <w:lang w:bidi="ar-SA"/>
              </w:rPr>
            </w:pPr>
            <w:r w:rsidRPr="00DD2C9F">
              <w:rPr>
                <w:b/>
                <w:lang w:bidi="ar-SA"/>
              </w:rPr>
              <w:t>Country*</w:t>
            </w:r>
          </w:p>
        </w:tc>
        <w:tc>
          <w:tcPr>
            <w:tcW w:w="2341" w:type="dxa"/>
            <w:vMerge w:val="restart"/>
            <w:tcBorders>
              <w:top w:val="single" w:sz="4" w:space="0" w:color="auto"/>
              <w:left w:val="single" w:sz="4" w:space="0" w:color="auto"/>
              <w:right w:val="single" w:sz="4" w:space="0" w:color="auto"/>
            </w:tcBorders>
            <w:shd w:val="clear" w:color="auto" w:fill="auto"/>
            <w:noWrap/>
            <w:vAlign w:val="bottom"/>
            <w:hideMark/>
          </w:tcPr>
          <w:p w14:paraId="57FA82E3" w14:textId="77777777" w:rsidR="00F866BA" w:rsidRPr="00DD2C9F" w:rsidRDefault="00F866BA" w:rsidP="00D7625B">
            <w:pPr>
              <w:pStyle w:val="FSTableText"/>
              <w:keepNext/>
              <w:keepLines/>
              <w:rPr>
                <w:b/>
                <w:lang w:bidi="ar-SA"/>
              </w:rPr>
            </w:pPr>
            <w:r w:rsidRPr="00DD2C9F">
              <w:rPr>
                <w:b/>
                <w:lang w:bidi="ar-SA"/>
              </w:rPr>
              <w:t>Population age (years)</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7C1B27" w14:textId="77777777" w:rsidR="00F866BA" w:rsidRPr="00DD2C9F" w:rsidRDefault="00F866BA" w:rsidP="00D7625B">
            <w:pPr>
              <w:pStyle w:val="FSTableText"/>
              <w:keepNext/>
              <w:keepLines/>
              <w:jc w:val="center"/>
              <w:rPr>
                <w:b/>
                <w:lang w:bidi="ar-SA"/>
              </w:rPr>
            </w:pPr>
            <w:r w:rsidRPr="00DD2C9F">
              <w:rPr>
                <w:b/>
                <w:lang w:bidi="ar-SA"/>
              </w:rPr>
              <w:t>Mean</w:t>
            </w:r>
          </w:p>
        </w:tc>
        <w:tc>
          <w:tcPr>
            <w:tcW w:w="30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2A7517" w14:textId="77777777" w:rsidR="00F866BA" w:rsidRPr="00DD2C9F" w:rsidRDefault="00F866BA" w:rsidP="00D7625B">
            <w:pPr>
              <w:pStyle w:val="FSTableText"/>
              <w:keepNext/>
              <w:keepLines/>
              <w:jc w:val="center"/>
              <w:rPr>
                <w:b/>
                <w:lang w:bidi="ar-SA"/>
              </w:rPr>
            </w:pPr>
            <w:r w:rsidRPr="00DD2C9F">
              <w:rPr>
                <w:b/>
                <w:lang w:bidi="ar-SA"/>
              </w:rPr>
              <w:t>90th Percentile</w:t>
            </w:r>
          </w:p>
        </w:tc>
      </w:tr>
      <w:tr w:rsidR="00F866BA" w:rsidRPr="000D2A80" w14:paraId="4AB39CFB" w14:textId="77777777" w:rsidTr="00D7625B">
        <w:trPr>
          <w:trHeight w:val="333"/>
        </w:trPr>
        <w:tc>
          <w:tcPr>
            <w:tcW w:w="1061" w:type="dxa"/>
            <w:vMerge/>
            <w:tcBorders>
              <w:left w:val="single" w:sz="4" w:space="0" w:color="auto"/>
              <w:bottom w:val="single" w:sz="4" w:space="0" w:color="auto"/>
              <w:right w:val="single" w:sz="4" w:space="0" w:color="auto"/>
            </w:tcBorders>
            <w:vAlign w:val="bottom"/>
          </w:tcPr>
          <w:p w14:paraId="39348CE8" w14:textId="77777777" w:rsidR="00F866BA" w:rsidRPr="00DD2C9F" w:rsidRDefault="00F866BA" w:rsidP="00D7625B">
            <w:pPr>
              <w:pStyle w:val="FSTableText"/>
              <w:keepNext/>
              <w:keepLines/>
              <w:rPr>
                <w:b/>
                <w:lang w:bidi="ar-SA"/>
              </w:rPr>
            </w:pPr>
          </w:p>
        </w:tc>
        <w:tc>
          <w:tcPr>
            <w:tcW w:w="2341" w:type="dxa"/>
            <w:vMerge/>
            <w:tcBorders>
              <w:left w:val="single" w:sz="4" w:space="0" w:color="auto"/>
              <w:bottom w:val="single" w:sz="4" w:space="0" w:color="auto"/>
              <w:right w:val="single" w:sz="4" w:space="0" w:color="auto"/>
            </w:tcBorders>
            <w:shd w:val="clear" w:color="auto" w:fill="auto"/>
            <w:noWrap/>
            <w:vAlign w:val="bottom"/>
            <w:hideMark/>
          </w:tcPr>
          <w:p w14:paraId="300E6045" w14:textId="77777777" w:rsidR="00F866BA" w:rsidRPr="00DD2C9F" w:rsidRDefault="00F866BA" w:rsidP="00D7625B">
            <w:pPr>
              <w:pStyle w:val="FSTableText"/>
              <w:keepNext/>
              <w:keepLines/>
              <w:rPr>
                <w:b/>
                <w:lang w:bidi="ar-SA"/>
              </w:rPr>
            </w:pPr>
          </w:p>
        </w:tc>
        <w:tc>
          <w:tcPr>
            <w:tcW w:w="1122" w:type="dxa"/>
            <w:tcBorders>
              <w:top w:val="nil"/>
              <w:left w:val="nil"/>
              <w:bottom w:val="single" w:sz="4" w:space="0" w:color="auto"/>
              <w:right w:val="single" w:sz="4" w:space="0" w:color="auto"/>
            </w:tcBorders>
            <w:shd w:val="clear" w:color="auto" w:fill="auto"/>
            <w:vAlign w:val="bottom"/>
            <w:hideMark/>
          </w:tcPr>
          <w:p w14:paraId="3290158D" w14:textId="77777777" w:rsidR="00F866BA" w:rsidRPr="00DD2C9F" w:rsidRDefault="00F866BA" w:rsidP="00D7625B">
            <w:pPr>
              <w:pStyle w:val="FSTableText"/>
              <w:keepNext/>
              <w:keepLines/>
              <w:jc w:val="right"/>
              <w:rPr>
                <w:b/>
                <w:lang w:bidi="ar-SA"/>
              </w:rPr>
            </w:pPr>
            <w:r w:rsidRPr="00DD2C9F">
              <w:rPr>
                <w:b/>
                <w:lang w:bidi="ar-SA"/>
              </w:rPr>
              <w:t>mg/day</w:t>
            </w:r>
          </w:p>
        </w:tc>
        <w:tc>
          <w:tcPr>
            <w:tcW w:w="1548" w:type="dxa"/>
            <w:tcBorders>
              <w:top w:val="nil"/>
              <w:left w:val="nil"/>
              <w:bottom w:val="single" w:sz="4" w:space="0" w:color="auto"/>
              <w:right w:val="single" w:sz="4" w:space="0" w:color="auto"/>
            </w:tcBorders>
            <w:shd w:val="clear" w:color="auto" w:fill="auto"/>
            <w:vAlign w:val="bottom"/>
            <w:hideMark/>
          </w:tcPr>
          <w:p w14:paraId="5C979DEF" w14:textId="77777777" w:rsidR="00F866BA" w:rsidRPr="00DD2C9F" w:rsidRDefault="00F866BA" w:rsidP="00D7625B">
            <w:pPr>
              <w:pStyle w:val="FSTableText"/>
              <w:keepNext/>
              <w:keepLines/>
              <w:jc w:val="right"/>
              <w:rPr>
                <w:b/>
                <w:lang w:bidi="ar-SA"/>
              </w:rPr>
            </w:pPr>
            <w:r w:rsidRPr="00DD2C9F">
              <w:rPr>
                <w:b/>
                <w:lang w:bidi="ar-SA"/>
              </w:rPr>
              <w:t>mg/kg bw/day</w:t>
            </w:r>
          </w:p>
        </w:tc>
        <w:tc>
          <w:tcPr>
            <w:tcW w:w="1548" w:type="dxa"/>
            <w:tcBorders>
              <w:top w:val="nil"/>
              <w:left w:val="nil"/>
              <w:bottom w:val="single" w:sz="4" w:space="0" w:color="auto"/>
              <w:right w:val="single" w:sz="4" w:space="0" w:color="auto"/>
            </w:tcBorders>
            <w:shd w:val="clear" w:color="auto" w:fill="auto"/>
            <w:vAlign w:val="bottom"/>
            <w:hideMark/>
          </w:tcPr>
          <w:p w14:paraId="3F92C040" w14:textId="77777777" w:rsidR="00F866BA" w:rsidRPr="00DD2C9F" w:rsidRDefault="00F866BA" w:rsidP="00D7625B">
            <w:pPr>
              <w:pStyle w:val="FSTableText"/>
              <w:keepNext/>
              <w:keepLines/>
              <w:jc w:val="right"/>
              <w:rPr>
                <w:b/>
                <w:lang w:bidi="ar-SA"/>
              </w:rPr>
            </w:pPr>
            <w:r w:rsidRPr="00DD2C9F">
              <w:rPr>
                <w:b/>
                <w:lang w:bidi="ar-SA"/>
              </w:rPr>
              <w:t>mg/day</w:t>
            </w:r>
          </w:p>
        </w:tc>
        <w:tc>
          <w:tcPr>
            <w:tcW w:w="1548" w:type="dxa"/>
            <w:tcBorders>
              <w:top w:val="nil"/>
              <w:left w:val="nil"/>
              <w:bottom w:val="single" w:sz="4" w:space="0" w:color="auto"/>
              <w:right w:val="single" w:sz="4" w:space="0" w:color="auto"/>
            </w:tcBorders>
            <w:shd w:val="clear" w:color="auto" w:fill="auto"/>
            <w:vAlign w:val="bottom"/>
            <w:hideMark/>
          </w:tcPr>
          <w:p w14:paraId="7BE63CB3" w14:textId="77777777" w:rsidR="00F866BA" w:rsidRPr="00DD2C9F" w:rsidRDefault="00F866BA" w:rsidP="00D7625B">
            <w:pPr>
              <w:pStyle w:val="FSTableText"/>
              <w:keepNext/>
              <w:keepLines/>
              <w:jc w:val="right"/>
              <w:rPr>
                <w:b/>
                <w:lang w:bidi="ar-SA"/>
              </w:rPr>
            </w:pPr>
            <w:r w:rsidRPr="00DD2C9F">
              <w:rPr>
                <w:b/>
                <w:lang w:bidi="ar-SA"/>
              </w:rPr>
              <w:t>mg/kg bw/day</w:t>
            </w:r>
          </w:p>
        </w:tc>
      </w:tr>
      <w:tr w:rsidR="00F866BA" w:rsidRPr="000D2A80" w14:paraId="288DEEB5" w14:textId="77777777" w:rsidTr="00D7625B">
        <w:trPr>
          <w:trHeight w:val="300"/>
        </w:trPr>
        <w:tc>
          <w:tcPr>
            <w:tcW w:w="1061" w:type="dxa"/>
            <w:tcBorders>
              <w:top w:val="nil"/>
              <w:left w:val="single" w:sz="4" w:space="0" w:color="auto"/>
              <w:bottom w:val="single" w:sz="4" w:space="0" w:color="auto"/>
              <w:right w:val="single" w:sz="4" w:space="0" w:color="auto"/>
            </w:tcBorders>
          </w:tcPr>
          <w:p w14:paraId="679A300F" w14:textId="77777777" w:rsidR="00F866BA" w:rsidRPr="00DD2C9F" w:rsidRDefault="00F866BA" w:rsidP="00D7625B">
            <w:pPr>
              <w:pStyle w:val="FSTableText"/>
              <w:keepNext/>
              <w:keepLines/>
              <w:rPr>
                <w:lang w:bidi="ar-SA"/>
              </w:rPr>
            </w:pPr>
            <w:r w:rsidRPr="00DD2C9F">
              <w:rPr>
                <w:lang w:bidi="ar-SA"/>
              </w:rPr>
              <w:t>Australia</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2132985A" w14:textId="77777777" w:rsidR="00F866BA" w:rsidRPr="00DD2C9F" w:rsidRDefault="00F866BA" w:rsidP="00D7625B">
            <w:pPr>
              <w:pStyle w:val="FSTableText"/>
              <w:keepNext/>
              <w:keepLines/>
              <w:rPr>
                <w:lang w:bidi="ar-SA"/>
              </w:rPr>
            </w:pPr>
            <w:r w:rsidRPr="00DD2C9F">
              <w:rPr>
                <w:lang w:bidi="ar-SA"/>
              </w:rPr>
              <w:t>2 years and above</w:t>
            </w:r>
          </w:p>
        </w:tc>
        <w:tc>
          <w:tcPr>
            <w:tcW w:w="1122" w:type="dxa"/>
            <w:tcBorders>
              <w:top w:val="nil"/>
              <w:left w:val="nil"/>
              <w:bottom w:val="single" w:sz="4" w:space="0" w:color="auto"/>
              <w:right w:val="single" w:sz="4" w:space="0" w:color="auto"/>
            </w:tcBorders>
            <w:shd w:val="clear" w:color="auto" w:fill="auto"/>
            <w:noWrap/>
            <w:vAlign w:val="bottom"/>
          </w:tcPr>
          <w:p w14:paraId="2D0B7390" w14:textId="77777777" w:rsidR="00F866BA" w:rsidRPr="00DD2C9F" w:rsidRDefault="00F866BA" w:rsidP="00D7625B">
            <w:pPr>
              <w:pStyle w:val="FSTableText"/>
              <w:keepNext/>
              <w:keepLines/>
              <w:jc w:val="right"/>
              <w:rPr>
                <w:lang w:bidi="ar-SA"/>
              </w:rPr>
            </w:pPr>
            <w:r w:rsidRPr="00DD2C9F">
              <w:rPr>
                <w:lang w:bidi="ar-SA"/>
              </w:rPr>
              <w:t>0.18</w:t>
            </w:r>
          </w:p>
        </w:tc>
        <w:tc>
          <w:tcPr>
            <w:tcW w:w="1548" w:type="dxa"/>
            <w:tcBorders>
              <w:top w:val="nil"/>
              <w:left w:val="nil"/>
              <w:bottom w:val="single" w:sz="4" w:space="0" w:color="auto"/>
              <w:right w:val="single" w:sz="4" w:space="0" w:color="auto"/>
            </w:tcBorders>
            <w:shd w:val="clear" w:color="auto" w:fill="auto"/>
            <w:noWrap/>
            <w:vAlign w:val="bottom"/>
          </w:tcPr>
          <w:p w14:paraId="2B5D1E00" w14:textId="77777777" w:rsidR="00F866BA" w:rsidRPr="00DD2C9F" w:rsidRDefault="00F866BA" w:rsidP="00D7625B">
            <w:pPr>
              <w:pStyle w:val="FSTableText"/>
              <w:keepNext/>
              <w:keepLines/>
              <w:jc w:val="right"/>
              <w:rPr>
                <w:lang w:bidi="ar-SA"/>
              </w:rPr>
            </w:pPr>
            <w:r w:rsidRPr="00DD2C9F">
              <w:rPr>
                <w:lang w:bidi="ar-SA"/>
              </w:rPr>
              <w:t>0.003</w:t>
            </w:r>
          </w:p>
        </w:tc>
        <w:tc>
          <w:tcPr>
            <w:tcW w:w="1548" w:type="dxa"/>
            <w:tcBorders>
              <w:top w:val="nil"/>
              <w:left w:val="nil"/>
              <w:bottom w:val="single" w:sz="4" w:space="0" w:color="auto"/>
              <w:right w:val="single" w:sz="4" w:space="0" w:color="auto"/>
            </w:tcBorders>
            <w:shd w:val="clear" w:color="auto" w:fill="auto"/>
            <w:noWrap/>
            <w:vAlign w:val="bottom"/>
          </w:tcPr>
          <w:p w14:paraId="2E54B2CE" w14:textId="77777777" w:rsidR="00F866BA" w:rsidRPr="00DD2C9F" w:rsidRDefault="00F866BA" w:rsidP="00D7625B">
            <w:pPr>
              <w:pStyle w:val="FSTableText"/>
              <w:keepNext/>
              <w:keepLines/>
              <w:jc w:val="right"/>
              <w:rPr>
                <w:lang w:bidi="ar-SA"/>
              </w:rPr>
            </w:pPr>
            <w:r w:rsidRPr="00DD2C9F">
              <w:rPr>
                <w:lang w:bidi="ar-SA"/>
              </w:rPr>
              <w:t>0.48</w:t>
            </w:r>
          </w:p>
        </w:tc>
        <w:tc>
          <w:tcPr>
            <w:tcW w:w="1548" w:type="dxa"/>
            <w:tcBorders>
              <w:top w:val="nil"/>
              <w:left w:val="nil"/>
              <w:bottom w:val="single" w:sz="4" w:space="0" w:color="auto"/>
              <w:right w:val="single" w:sz="4" w:space="0" w:color="auto"/>
            </w:tcBorders>
            <w:shd w:val="clear" w:color="auto" w:fill="auto"/>
            <w:noWrap/>
            <w:vAlign w:val="bottom"/>
          </w:tcPr>
          <w:p w14:paraId="025C4349" w14:textId="77777777" w:rsidR="00F866BA" w:rsidRPr="00DD2C9F" w:rsidRDefault="00F866BA" w:rsidP="00D7625B">
            <w:pPr>
              <w:pStyle w:val="FSTableText"/>
              <w:keepNext/>
              <w:keepLines/>
              <w:jc w:val="right"/>
              <w:rPr>
                <w:lang w:bidi="ar-SA"/>
              </w:rPr>
            </w:pPr>
            <w:r w:rsidRPr="00DD2C9F">
              <w:rPr>
                <w:lang w:bidi="ar-SA"/>
              </w:rPr>
              <w:t>0.01</w:t>
            </w:r>
          </w:p>
        </w:tc>
      </w:tr>
      <w:tr w:rsidR="00F866BA" w:rsidRPr="000D2A80" w14:paraId="1121EA37" w14:textId="77777777" w:rsidTr="00D7625B">
        <w:trPr>
          <w:trHeight w:val="300"/>
        </w:trPr>
        <w:tc>
          <w:tcPr>
            <w:tcW w:w="1061" w:type="dxa"/>
            <w:vMerge w:val="restart"/>
            <w:tcBorders>
              <w:top w:val="nil"/>
              <w:left w:val="single" w:sz="4" w:space="0" w:color="auto"/>
              <w:right w:val="single" w:sz="4" w:space="0" w:color="auto"/>
            </w:tcBorders>
          </w:tcPr>
          <w:p w14:paraId="680B6F85" w14:textId="77777777" w:rsidR="00F866BA" w:rsidRPr="00DD2C9F" w:rsidRDefault="00F866BA" w:rsidP="00D7625B">
            <w:pPr>
              <w:pStyle w:val="FSTableText"/>
              <w:keepNext/>
              <w:keepLines/>
              <w:rPr>
                <w:lang w:bidi="ar-SA"/>
              </w:rPr>
            </w:pPr>
            <w:r w:rsidRPr="00DD2C9F">
              <w:rPr>
                <w:lang w:bidi="ar-SA"/>
              </w:rPr>
              <w:t>New Zealand</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19C22307" w14:textId="77777777" w:rsidR="00F866BA" w:rsidRPr="00DD2C9F" w:rsidRDefault="00F866BA" w:rsidP="00D7625B">
            <w:pPr>
              <w:pStyle w:val="FSTableText"/>
              <w:keepNext/>
              <w:keepLines/>
              <w:rPr>
                <w:lang w:bidi="ar-SA"/>
              </w:rPr>
            </w:pPr>
            <w:r w:rsidRPr="00DD2C9F">
              <w:rPr>
                <w:lang w:bidi="ar-SA"/>
              </w:rPr>
              <w:t>Children 5-14 years</w:t>
            </w:r>
          </w:p>
        </w:tc>
        <w:tc>
          <w:tcPr>
            <w:tcW w:w="1122" w:type="dxa"/>
            <w:tcBorders>
              <w:top w:val="nil"/>
              <w:left w:val="nil"/>
              <w:bottom w:val="single" w:sz="4" w:space="0" w:color="auto"/>
              <w:right w:val="single" w:sz="4" w:space="0" w:color="auto"/>
            </w:tcBorders>
            <w:shd w:val="clear" w:color="auto" w:fill="auto"/>
            <w:noWrap/>
            <w:vAlign w:val="bottom"/>
          </w:tcPr>
          <w:p w14:paraId="47C671A0" w14:textId="77777777" w:rsidR="00F866BA" w:rsidRPr="00DD2C9F" w:rsidRDefault="00F866BA" w:rsidP="00D7625B">
            <w:pPr>
              <w:pStyle w:val="FSTableText"/>
              <w:keepNext/>
              <w:keepLines/>
              <w:jc w:val="right"/>
              <w:rPr>
                <w:lang w:bidi="ar-SA"/>
              </w:rPr>
            </w:pPr>
            <w:r w:rsidRPr="00DD2C9F">
              <w:rPr>
                <w:lang w:bidi="ar-SA"/>
              </w:rPr>
              <w:t>0.46</w:t>
            </w:r>
          </w:p>
        </w:tc>
        <w:tc>
          <w:tcPr>
            <w:tcW w:w="1548" w:type="dxa"/>
            <w:tcBorders>
              <w:top w:val="nil"/>
              <w:left w:val="nil"/>
              <w:bottom w:val="single" w:sz="4" w:space="0" w:color="auto"/>
              <w:right w:val="single" w:sz="4" w:space="0" w:color="auto"/>
            </w:tcBorders>
            <w:shd w:val="clear" w:color="auto" w:fill="auto"/>
            <w:noWrap/>
            <w:vAlign w:val="bottom"/>
          </w:tcPr>
          <w:p w14:paraId="2301D5CD" w14:textId="77777777" w:rsidR="00F866BA" w:rsidRPr="00DD2C9F" w:rsidRDefault="00F866BA" w:rsidP="00D7625B">
            <w:pPr>
              <w:pStyle w:val="FSTableText"/>
              <w:keepNext/>
              <w:keepLines/>
              <w:jc w:val="right"/>
              <w:rPr>
                <w:lang w:bidi="ar-SA"/>
              </w:rPr>
            </w:pPr>
            <w:r w:rsidRPr="00DD2C9F">
              <w:rPr>
                <w:lang w:bidi="ar-SA"/>
              </w:rPr>
              <w:t>0.01</w:t>
            </w:r>
          </w:p>
        </w:tc>
        <w:tc>
          <w:tcPr>
            <w:tcW w:w="1548" w:type="dxa"/>
            <w:tcBorders>
              <w:top w:val="nil"/>
              <w:left w:val="nil"/>
              <w:bottom w:val="single" w:sz="4" w:space="0" w:color="auto"/>
              <w:right w:val="single" w:sz="4" w:space="0" w:color="auto"/>
            </w:tcBorders>
            <w:shd w:val="clear" w:color="auto" w:fill="auto"/>
            <w:noWrap/>
            <w:vAlign w:val="bottom"/>
          </w:tcPr>
          <w:p w14:paraId="1873E8AD" w14:textId="77777777" w:rsidR="00F866BA" w:rsidRPr="00DD2C9F" w:rsidRDefault="00F866BA" w:rsidP="00D7625B">
            <w:pPr>
              <w:pStyle w:val="FSTableText"/>
              <w:keepNext/>
              <w:keepLines/>
              <w:jc w:val="right"/>
              <w:rPr>
                <w:lang w:bidi="ar-SA"/>
              </w:rPr>
            </w:pPr>
            <w:r w:rsidRPr="00DD2C9F">
              <w:rPr>
                <w:lang w:bidi="ar-SA"/>
              </w:rPr>
              <w:t>1.07</w:t>
            </w:r>
          </w:p>
        </w:tc>
        <w:tc>
          <w:tcPr>
            <w:tcW w:w="1548" w:type="dxa"/>
            <w:tcBorders>
              <w:top w:val="nil"/>
              <w:left w:val="nil"/>
              <w:bottom w:val="single" w:sz="4" w:space="0" w:color="auto"/>
              <w:right w:val="single" w:sz="4" w:space="0" w:color="auto"/>
            </w:tcBorders>
            <w:shd w:val="clear" w:color="auto" w:fill="auto"/>
            <w:noWrap/>
            <w:vAlign w:val="bottom"/>
          </w:tcPr>
          <w:p w14:paraId="31B1E81A" w14:textId="77777777" w:rsidR="00F866BA" w:rsidRPr="00DD2C9F" w:rsidRDefault="00F866BA" w:rsidP="00D7625B">
            <w:pPr>
              <w:pStyle w:val="FSTableText"/>
              <w:keepNext/>
              <w:keepLines/>
              <w:jc w:val="right"/>
              <w:rPr>
                <w:lang w:bidi="ar-SA"/>
              </w:rPr>
            </w:pPr>
            <w:r w:rsidRPr="00DD2C9F">
              <w:rPr>
                <w:lang w:bidi="ar-SA"/>
              </w:rPr>
              <w:t>0.03</w:t>
            </w:r>
          </w:p>
        </w:tc>
      </w:tr>
      <w:tr w:rsidR="00F866BA" w:rsidRPr="000D2A80" w14:paraId="53B8374E" w14:textId="77777777" w:rsidTr="00D7625B">
        <w:trPr>
          <w:trHeight w:val="300"/>
        </w:trPr>
        <w:tc>
          <w:tcPr>
            <w:tcW w:w="1061" w:type="dxa"/>
            <w:vMerge/>
            <w:tcBorders>
              <w:left w:val="single" w:sz="4" w:space="0" w:color="auto"/>
              <w:bottom w:val="single" w:sz="4" w:space="0" w:color="auto"/>
              <w:right w:val="single" w:sz="4" w:space="0" w:color="auto"/>
            </w:tcBorders>
          </w:tcPr>
          <w:p w14:paraId="5D22FF5E" w14:textId="77777777" w:rsidR="00F866BA" w:rsidRPr="00DD2C9F" w:rsidRDefault="00F866BA" w:rsidP="00D7625B">
            <w:pPr>
              <w:pStyle w:val="FSTableText"/>
              <w:keepNext/>
              <w:keepLines/>
              <w:rPr>
                <w:lang w:bidi="ar-SA"/>
              </w:rPr>
            </w:pP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22ABAC9D" w14:textId="77777777" w:rsidR="00F866BA" w:rsidRPr="00DD2C9F" w:rsidRDefault="00F866BA" w:rsidP="00D7625B">
            <w:pPr>
              <w:pStyle w:val="FSTableText"/>
              <w:keepNext/>
              <w:keepLines/>
              <w:rPr>
                <w:lang w:bidi="ar-SA"/>
              </w:rPr>
            </w:pPr>
            <w:r w:rsidRPr="00DD2C9F">
              <w:rPr>
                <w:lang w:bidi="ar-SA"/>
              </w:rPr>
              <w:t>15 years and above</w:t>
            </w:r>
          </w:p>
        </w:tc>
        <w:tc>
          <w:tcPr>
            <w:tcW w:w="1122" w:type="dxa"/>
            <w:tcBorders>
              <w:top w:val="nil"/>
              <w:left w:val="nil"/>
              <w:bottom w:val="single" w:sz="4" w:space="0" w:color="auto"/>
              <w:right w:val="single" w:sz="4" w:space="0" w:color="auto"/>
            </w:tcBorders>
            <w:shd w:val="clear" w:color="auto" w:fill="auto"/>
            <w:noWrap/>
            <w:vAlign w:val="bottom"/>
          </w:tcPr>
          <w:p w14:paraId="2F09D95B" w14:textId="77777777" w:rsidR="00F866BA" w:rsidRPr="00DD2C9F" w:rsidRDefault="00F866BA" w:rsidP="00D7625B">
            <w:pPr>
              <w:pStyle w:val="FSTableText"/>
              <w:keepNext/>
              <w:keepLines/>
              <w:jc w:val="right"/>
              <w:rPr>
                <w:lang w:bidi="ar-SA"/>
              </w:rPr>
            </w:pPr>
            <w:r w:rsidRPr="00DD2C9F">
              <w:rPr>
                <w:lang w:bidi="ar-SA"/>
              </w:rPr>
              <w:t>0.64</w:t>
            </w:r>
          </w:p>
        </w:tc>
        <w:tc>
          <w:tcPr>
            <w:tcW w:w="1548" w:type="dxa"/>
            <w:tcBorders>
              <w:top w:val="nil"/>
              <w:left w:val="nil"/>
              <w:bottom w:val="single" w:sz="4" w:space="0" w:color="auto"/>
              <w:right w:val="single" w:sz="4" w:space="0" w:color="auto"/>
            </w:tcBorders>
            <w:shd w:val="clear" w:color="auto" w:fill="auto"/>
            <w:noWrap/>
            <w:vAlign w:val="bottom"/>
          </w:tcPr>
          <w:p w14:paraId="27E43520" w14:textId="77777777" w:rsidR="00F866BA" w:rsidRPr="00DD2C9F" w:rsidRDefault="00F866BA" w:rsidP="00D7625B">
            <w:pPr>
              <w:pStyle w:val="FSTableText"/>
              <w:keepNext/>
              <w:keepLines/>
              <w:jc w:val="right"/>
              <w:rPr>
                <w:lang w:bidi="ar-SA"/>
              </w:rPr>
            </w:pPr>
            <w:r w:rsidRPr="00DD2C9F">
              <w:rPr>
                <w:lang w:bidi="ar-SA"/>
              </w:rPr>
              <w:t>0.01</w:t>
            </w:r>
          </w:p>
        </w:tc>
        <w:tc>
          <w:tcPr>
            <w:tcW w:w="1548" w:type="dxa"/>
            <w:tcBorders>
              <w:top w:val="nil"/>
              <w:left w:val="nil"/>
              <w:bottom w:val="single" w:sz="4" w:space="0" w:color="auto"/>
              <w:right w:val="single" w:sz="4" w:space="0" w:color="auto"/>
            </w:tcBorders>
            <w:shd w:val="clear" w:color="auto" w:fill="auto"/>
            <w:noWrap/>
            <w:vAlign w:val="bottom"/>
          </w:tcPr>
          <w:p w14:paraId="78D6E7E2" w14:textId="77777777" w:rsidR="00F866BA" w:rsidRPr="00DD2C9F" w:rsidRDefault="00F866BA" w:rsidP="00D7625B">
            <w:pPr>
              <w:pStyle w:val="FSTableText"/>
              <w:keepNext/>
              <w:keepLines/>
              <w:jc w:val="right"/>
              <w:rPr>
                <w:lang w:bidi="ar-SA"/>
              </w:rPr>
            </w:pPr>
            <w:r w:rsidRPr="00DD2C9F">
              <w:rPr>
                <w:lang w:bidi="ar-SA"/>
              </w:rPr>
              <w:t>1.37</w:t>
            </w:r>
          </w:p>
        </w:tc>
        <w:tc>
          <w:tcPr>
            <w:tcW w:w="1548" w:type="dxa"/>
            <w:tcBorders>
              <w:top w:val="nil"/>
              <w:left w:val="nil"/>
              <w:bottom w:val="single" w:sz="4" w:space="0" w:color="auto"/>
              <w:right w:val="single" w:sz="4" w:space="0" w:color="auto"/>
            </w:tcBorders>
            <w:shd w:val="clear" w:color="auto" w:fill="auto"/>
            <w:noWrap/>
            <w:vAlign w:val="bottom"/>
          </w:tcPr>
          <w:p w14:paraId="678AD271" w14:textId="77777777" w:rsidR="00F866BA" w:rsidRPr="00DD2C9F" w:rsidRDefault="00F866BA" w:rsidP="00D7625B">
            <w:pPr>
              <w:pStyle w:val="FSTableText"/>
              <w:keepNext/>
              <w:keepLines/>
              <w:jc w:val="right"/>
              <w:rPr>
                <w:lang w:bidi="ar-SA"/>
              </w:rPr>
            </w:pPr>
            <w:r w:rsidRPr="00DD2C9F">
              <w:rPr>
                <w:lang w:bidi="ar-SA"/>
              </w:rPr>
              <w:t>0.02</w:t>
            </w:r>
          </w:p>
        </w:tc>
      </w:tr>
    </w:tbl>
    <w:p w14:paraId="5D2E87A5" w14:textId="77777777" w:rsidR="00F866BA" w:rsidRDefault="00F866BA" w:rsidP="00F866BA">
      <w:pPr>
        <w:keepNext/>
        <w:keepLines/>
        <w:ind w:left="284" w:hanging="284"/>
        <w:rPr>
          <w:lang w:bidi="ar-SA"/>
        </w:rPr>
      </w:pPr>
      <w:r w:rsidRPr="005F6122">
        <w:rPr>
          <w:sz w:val="18"/>
        </w:rPr>
        <w:t>* Estimated dietary exposures are based on the average of two days of data for Australia, and only one day of data for New Zealand.</w:t>
      </w:r>
    </w:p>
    <w:p w14:paraId="5D16BCC0" w14:textId="77777777" w:rsidR="00F866BA" w:rsidRPr="009822B6" w:rsidRDefault="00F866BA" w:rsidP="00F866BA">
      <w:pPr>
        <w:pStyle w:val="Heading5"/>
      </w:pPr>
      <w:r w:rsidRPr="009822B6">
        <w:t>6.3.2.1.</w:t>
      </w:r>
      <w:r>
        <w:t>2</w:t>
      </w:r>
      <w:r>
        <w:tab/>
        <w:t xml:space="preserve">Dietary exposure to </w:t>
      </w:r>
      <w:r w:rsidRPr="009822B6">
        <w:t xml:space="preserve">erucic acid from rapeseed protein isolate </w:t>
      </w:r>
      <w:r>
        <w:t xml:space="preserve">with a </w:t>
      </w:r>
      <w:r w:rsidRPr="009822B6">
        <w:t>compar</w:t>
      </w:r>
      <w:r>
        <w:t>ison</w:t>
      </w:r>
      <w:r w:rsidRPr="009822B6">
        <w:t xml:space="preserve"> to </w:t>
      </w:r>
      <w:r>
        <w:t xml:space="preserve">dietary exposures from </w:t>
      </w:r>
      <w:r w:rsidRPr="00DA0240">
        <w:rPr>
          <w:i w:val="0"/>
        </w:rPr>
        <w:t>Brassica</w:t>
      </w:r>
      <w:r>
        <w:t xml:space="preserve"> vegetables</w:t>
      </w:r>
    </w:p>
    <w:p w14:paraId="4C53FC99" w14:textId="77777777" w:rsidR="00F866BA" w:rsidRDefault="00F866BA" w:rsidP="00F866BA">
      <w:r w:rsidRPr="000E44C2">
        <w:t>Table 6.5 shows the estimated exposure to erucic acid from rapeseed protein isolate</w:t>
      </w:r>
      <w:r>
        <w:t xml:space="preserve"> based on proposed typical use levels</w:t>
      </w:r>
      <w:r w:rsidRPr="000E44C2">
        <w:t>.</w:t>
      </w:r>
    </w:p>
    <w:p w14:paraId="4D0E542B" w14:textId="77777777" w:rsidR="00F866BA" w:rsidRDefault="00F866BA" w:rsidP="00F866BA"/>
    <w:p w14:paraId="39BFE69D" w14:textId="77777777" w:rsidR="00F866BA" w:rsidRDefault="00F866BA" w:rsidP="00F866BA">
      <w:r w:rsidRPr="00A20E13">
        <w:t xml:space="preserve">Estimated mean dietary exposures to erucic acid from </w:t>
      </w:r>
      <w:r>
        <w:t>rapeseed protein isolate based on proposed typical use levels</w:t>
      </w:r>
      <w:r w:rsidRPr="00A20E13">
        <w:t xml:space="preserve"> for Australians aged 2 years and </w:t>
      </w:r>
      <w:r w:rsidRPr="00BD6E74">
        <w:t>above was 2.01 mg/day. Mean dietary exposure to erucic acid from rapeseed protein isolate for New Zealand children 5-14 years and adults 15 years and above were 2.26 mg/day and 2.11 mg/day</w:t>
      </w:r>
      <w:r w:rsidRPr="00A20E13">
        <w:t xml:space="preserve"> </w:t>
      </w:r>
      <w:r>
        <w:t>respectively.</w:t>
      </w:r>
      <w:r w:rsidRPr="00A20E13">
        <w:t xml:space="preserve"> When expressed on a body weight basis, </w:t>
      </w:r>
      <w:r>
        <w:t xml:space="preserve">the </w:t>
      </w:r>
      <w:r w:rsidRPr="00A20E13">
        <w:t xml:space="preserve">estimated mean daily exposure </w:t>
      </w:r>
      <w:r>
        <w:t>for</w:t>
      </w:r>
      <w:r w:rsidRPr="00A20E13">
        <w:t xml:space="preserve"> Australian aged 2 years and above was </w:t>
      </w:r>
      <w:r>
        <w:t>0.03</w:t>
      </w:r>
      <w:r w:rsidRPr="00A20E13">
        <w:t xml:space="preserve"> mg/kg bw/day </w:t>
      </w:r>
      <w:r>
        <w:t xml:space="preserve">and </w:t>
      </w:r>
      <w:r w:rsidRPr="00A20E13">
        <w:t xml:space="preserve">for New Zealand children and adults </w:t>
      </w:r>
      <w:r>
        <w:t>were 0.06 </w:t>
      </w:r>
      <w:r w:rsidRPr="00A20E13">
        <w:t>mg/kg bw/day</w:t>
      </w:r>
      <w:r>
        <w:t xml:space="preserve"> and 0.03 </w:t>
      </w:r>
      <w:r w:rsidRPr="00A20E13">
        <w:t>mg/kg bw/day</w:t>
      </w:r>
      <w:r>
        <w:t xml:space="preserve"> respectively.</w:t>
      </w:r>
    </w:p>
    <w:p w14:paraId="11FEEB95" w14:textId="77777777" w:rsidR="00F866BA" w:rsidRDefault="00F866BA" w:rsidP="00F866BA"/>
    <w:p w14:paraId="7BA05EBC" w14:textId="77777777" w:rsidR="00F866BA" w:rsidRPr="00A20E13" w:rsidRDefault="00F866BA" w:rsidP="00F866BA">
      <w:r w:rsidRPr="00187566">
        <w:t xml:space="preserve">Estimated 90th percentile dietary exposures to erucic acid from </w:t>
      </w:r>
      <w:r>
        <w:t>rapeseed protein isolate</w:t>
      </w:r>
      <w:r w:rsidRPr="00187566">
        <w:t xml:space="preserve"> for Australians aged 2 years and above was </w:t>
      </w:r>
      <w:r>
        <w:t xml:space="preserve">3.71 </w:t>
      </w:r>
      <w:r w:rsidRPr="00187566">
        <w:t xml:space="preserve">mg/day. Estimated 90th percentile dietary exposure </w:t>
      </w:r>
      <w:r>
        <w:t xml:space="preserve">for </w:t>
      </w:r>
      <w:r w:rsidRPr="00187566">
        <w:t xml:space="preserve">New Zealand children 5-14 years and adults 15 years and above were </w:t>
      </w:r>
      <w:r>
        <w:t>3.88 mg/day and 4.14</w:t>
      </w:r>
      <w:r w:rsidRPr="00187566">
        <w:t xml:space="preserve"> mg/day</w:t>
      </w:r>
      <w:r>
        <w:t xml:space="preserve"> respectively</w:t>
      </w:r>
      <w:r w:rsidRPr="00187566">
        <w:t>. When expressed on a body weight basis, estimated 90th percentile daily</w:t>
      </w:r>
      <w:r>
        <w:t xml:space="preserve"> exposure to erucic acid from rapeseed protein isolate was 0.07 mg/kg bw/day </w:t>
      </w:r>
      <w:r w:rsidRPr="00187566">
        <w:t>for Australian aged 2 years and above</w:t>
      </w:r>
      <w:r>
        <w:t>, and for New Zealand was 0.11 </w:t>
      </w:r>
      <w:r w:rsidRPr="00187566">
        <w:t xml:space="preserve">mg/kg bw/day for children and </w:t>
      </w:r>
      <w:r>
        <w:t>0.05</w:t>
      </w:r>
      <w:r w:rsidRPr="00187566">
        <w:t xml:space="preserve"> mg/kg bw/day for adults.</w:t>
      </w:r>
    </w:p>
    <w:p w14:paraId="525F478F" w14:textId="77777777" w:rsidR="00F866BA" w:rsidRDefault="00F866BA" w:rsidP="00F866BA">
      <w:pPr>
        <w:rPr>
          <w:lang w:bidi="ar-SA"/>
        </w:rPr>
      </w:pPr>
    </w:p>
    <w:p w14:paraId="2C491D21" w14:textId="77777777" w:rsidR="00F866BA" w:rsidRPr="001750EE" w:rsidRDefault="00F866BA" w:rsidP="00F866BA">
      <w:pPr>
        <w:keepNext/>
        <w:keepLines/>
        <w:rPr>
          <w:b/>
          <w:i/>
          <w:lang w:bidi="ar-SA"/>
        </w:rPr>
      </w:pPr>
      <w:r w:rsidRPr="001750EE">
        <w:rPr>
          <w:b/>
          <w:i/>
          <w:lang w:bidi="ar-SA"/>
        </w:rPr>
        <w:t>Table 6.5</w:t>
      </w:r>
      <w:r>
        <w:rPr>
          <w:b/>
          <w:i/>
          <w:lang w:bidi="ar-SA"/>
        </w:rPr>
        <w:tab/>
      </w:r>
      <w:r w:rsidRPr="001750EE">
        <w:rPr>
          <w:i/>
          <w:lang w:bidi="ar-SA"/>
        </w:rPr>
        <w:t>Estimated dietary exposure to erucic acid from rapeseed protein isolate</w:t>
      </w:r>
      <w:r>
        <w:rPr>
          <w:i/>
          <w:lang w:bidi="ar-SA"/>
        </w:rPr>
        <w:t xml:space="preserve"> based on proposed typical use levels</w:t>
      </w:r>
      <w:r w:rsidRPr="001750EE">
        <w:rPr>
          <w:i/>
          <w:lang w:bidi="ar-SA"/>
        </w:rPr>
        <w:t>*</w:t>
      </w:r>
    </w:p>
    <w:p w14:paraId="0BEF4F36" w14:textId="77777777" w:rsidR="00F866BA" w:rsidRPr="00543FCD" w:rsidRDefault="00F866BA" w:rsidP="00F866BA">
      <w:pPr>
        <w:rPr>
          <w:lang w:bidi="ar-SA"/>
        </w:rPr>
      </w:pPr>
    </w:p>
    <w:tbl>
      <w:tblPr>
        <w:tblStyle w:val="TableGrid"/>
        <w:tblW w:w="0" w:type="auto"/>
        <w:tblLook w:val="04A0" w:firstRow="1" w:lastRow="0" w:firstColumn="1" w:lastColumn="0" w:noHBand="0" w:noVBand="1"/>
        <w:tblCaption w:val="Estimated dietary exposure to erucic acid from rapeseed protein isolate"/>
        <w:tblDescription w:val="Table 6.5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The estimation is based on 0.005% concentration of erucic acid in rapeseed protein isolate according to the specifications&#10;"/>
      </w:tblPr>
      <w:tblGrid>
        <w:gridCol w:w="1164"/>
        <w:gridCol w:w="2092"/>
        <w:gridCol w:w="917"/>
        <w:gridCol w:w="1595"/>
        <w:gridCol w:w="1249"/>
        <w:gridCol w:w="1594"/>
      </w:tblGrid>
      <w:tr w:rsidR="00F866BA" w14:paraId="4EE86738" w14:textId="77777777" w:rsidTr="00D7625B">
        <w:tc>
          <w:tcPr>
            <w:tcW w:w="1164" w:type="dxa"/>
            <w:vMerge w:val="restart"/>
            <w:vAlign w:val="bottom"/>
          </w:tcPr>
          <w:p w14:paraId="76BE8462" w14:textId="77777777" w:rsidR="00F866BA" w:rsidRPr="00B2192B" w:rsidRDefault="00F866BA" w:rsidP="00D7625B">
            <w:pPr>
              <w:keepNext/>
              <w:keepLines/>
              <w:rPr>
                <w:b/>
                <w:lang w:bidi="ar-SA"/>
              </w:rPr>
            </w:pPr>
            <w:r w:rsidRPr="00B2192B">
              <w:rPr>
                <w:b/>
                <w:lang w:bidi="ar-SA"/>
              </w:rPr>
              <w:t>Country</w:t>
            </w:r>
          </w:p>
        </w:tc>
        <w:tc>
          <w:tcPr>
            <w:tcW w:w="2092" w:type="dxa"/>
            <w:vMerge w:val="restart"/>
            <w:vAlign w:val="bottom"/>
          </w:tcPr>
          <w:p w14:paraId="05E9A588" w14:textId="77777777" w:rsidR="00F866BA" w:rsidRPr="00B2192B" w:rsidRDefault="00F866BA" w:rsidP="00D7625B">
            <w:pPr>
              <w:pStyle w:val="FSTableText"/>
              <w:keepNext/>
              <w:keepLines/>
              <w:rPr>
                <w:b/>
                <w:lang w:bidi="ar-SA"/>
              </w:rPr>
            </w:pPr>
            <w:r w:rsidRPr="00B2192B">
              <w:rPr>
                <w:b/>
                <w:color w:val="000000"/>
              </w:rPr>
              <w:t>Population age (years)</w:t>
            </w:r>
          </w:p>
        </w:tc>
        <w:tc>
          <w:tcPr>
            <w:tcW w:w="2260" w:type="dxa"/>
            <w:gridSpan w:val="2"/>
            <w:vAlign w:val="bottom"/>
          </w:tcPr>
          <w:p w14:paraId="6F8004AE" w14:textId="77777777" w:rsidR="00F866BA" w:rsidRPr="00DD2C9F" w:rsidRDefault="00F866BA" w:rsidP="00D7625B">
            <w:pPr>
              <w:pStyle w:val="FSTableText"/>
              <w:keepNext/>
              <w:keepLines/>
              <w:jc w:val="center"/>
              <w:rPr>
                <w:b/>
                <w:lang w:bidi="ar-SA"/>
              </w:rPr>
            </w:pPr>
            <w:r w:rsidRPr="00DD2C9F">
              <w:rPr>
                <w:b/>
                <w:lang w:bidi="ar-SA"/>
              </w:rPr>
              <w:t>Mean</w:t>
            </w:r>
          </w:p>
        </w:tc>
        <w:tc>
          <w:tcPr>
            <w:tcW w:w="2843" w:type="dxa"/>
            <w:gridSpan w:val="2"/>
            <w:vAlign w:val="bottom"/>
          </w:tcPr>
          <w:p w14:paraId="1D4082D8" w14:textId="77777777" w:rsidR="00F866BA" w:rsidRPr="00DD2C9F" w:rsidRDefault="00F866BA" w:rsidP="00D7625B">
            <w:pPr>
              <w:pStyle w:val="FSTableText"/>
              <w:keepNext/>
              <w:keepLines/>
              <w:jc w:val="center"/>
              <w:rPr>
                <w:b/>
                <w:lang w:bidi="ar-SA"/>
              </w:rPr>
            </w:pPr>
            <w:r w:rsidRPr="00DD2C9F">
              <w:rPr>
                <w:b/>
                <w:lang w:bidi="ar-SA"/>
              </w:rPr>
              <w:t>90th Percentile</w:t>
            </w:r>
          </w:p>
        </w:tc>
      </w:tr>
      <w:tr w:rsidR="00F866BA" w14:paraId="65FE6028" w14:textId="77777777" w:rsidTr="00D7625B">
        <w:tc>
          <w:tcPr>
            <w:tcW w:w="1164" w:type="dxa"/>
            <w:vMerge/>
          </w:tcPr>
          <w:p w14:paraId="44CCA583" w14:textId="77777777" w:rsidR="00F866BA" w:rsidRPr="00B2192B" w:rsidRDefault="00F866BA" w:rsidP="00D7625B">
            <w:pPr>
              <w:keepNext/>
              <w:keepLines/>
              <w:rPr>
                <w:b/>
                <w:lang w:bidi="ar-SA"/>
              </w:rPr>
            </w:pPr>
          </w:p>
        </w:tc>
        <w:tc>
          <w:tcPr>
            <w:tcW w:w="2092" w:type="dxa"/>
            <w:vMerge/>
          </w:tcPr>
          <w:p w14:paraId="79F66814" w14:textId="77777777" w:rsidR="00F866BA" w:rsidRPr="00B2192B" w:rsidRDefault="00F866BA" w:rsidP="00D7625B">
            <w:pPr>
              <w:pStyle w:val="FSTableText"/>
              <w:keepNext/>
              <w:keepLines/>
              <w:rPr>
                <w:b/>
                <w:lang w:bidi="ar-SA"/>
              </w:rPr>
            </w:pPr>
          </w:p>
        </w:tc>
        <w:tc>
          <w:tcPr>
            <w:tcW w:w="665" w:type="dxa"/>
            <w:vAlign w:val="bottom"/>
          </w:tcPr>
          <w:p w14:paraId="7D03D121" w14:textId="77777777" w:rsidR="00F866BA" w:rsidRPr="00DD2C9F" w:rsidRDefault="00F866BA" w:rsidP="00D7625B">
            <w:pPr>
              <w:pStyle w:val="FSTableText"/>
              <w:keepNext/>
              <w:keepLines/>
              <w:jc w:val="right"/>
              <w:rPr>
                <w:b/>
                <w:lang w:bidi="ar-SA"/>
              </w:rPr>
            </w:pPr>
            <w:r w:rsidRPr="00DD2C9F">
              <w:rPr>
                <w:b/>
                <w:lang w:bidi="ar-SA"/>
              </w:rPr>
              <w:t>mg/day</w:t>
            </w:r>
          </w:p>
        </w:tc>
        <w:tc>
          <w:tcPr>
            <w:tcW w:w="1595" w:type="dxa"/>
            <w:vAlign w:val="bottom"/>
          </w:tcPr>
          <w:p w14:paraId="167AE796" w14:textId="77777777" w:rsidR="00F866BA" w:rsidRPr="00DD2C9F" w:rsidRDefault="00F866BA" w:rsidP="00D7625B">
            <w:pPr>
              <w:pStyle w:val="FSTableText"/>
              <w:keepNext/>
              <w:keepLines/>
              <w:jc w:val="right"/>
              <w:rPr>
                <w:b/>
                <w:lang w:bidi="ar-SA"/>
              </w:rPr>
            </w:pPr>
            <w:r w:rsidRPr="00DD2C9F">
              <w:rPr>
                <w:b/>
                <w:lang w:bidi="ar-SA"/>
              </w:rPr>
              <w:t>mg/kg bw/day</w:t>
            </w:r>
          </w:p>
        </w:tc>
        <w:tc>
          <w:tcPr>
            <w:tcW w:w="1249" w:type="dxa"/>
            <w:vAlign w:val="bottom"/>
          </w:tcPr>
          <w:p w14:paraId="04131E11" w14:textId="77777777" w:rsidR="00F866BA" w:rsidRPr="00DD2C9F" w:rsidRDefault="00F866BA" w:rsidP="00D7625B">
            <w:pPr>
              <w:pStyle w:val="FSTableText"/>
              <w:keepNext/>
              <w:keepLines/>
              <w:jc w:val="right"/>
              <w:rPr>
                <w:b/>
                <w:lang w:bidi="ar-SA"/>
              </w:rPr>
            </w:pPr>
            <w:r w:rsidRPr="00DD2C9F">
              <w:rPr>
                <w:b/>
                <w:lang w:bidi="ar-SA"/>
              </w:rPr>
              <w:t>mg/day</w:t>
            </w:r>
          </w:p>
        </w:tc>
        <w:tc>
          <w:tcPr>
            <w:tcW w:w="1594" w:type="dxa"/>
            <w:vAlign w:val="bottom"/>
          </w:tcPr>
          <w:p w14:paraId="6C752AF8" w14:textId="77777777" w:rsidR="00F866BA" w:rsidRPr="00DD2C9F" w:rsidRDefault="00F866BA" w:rsidP="00D7625B">
            <w:pPr>
              <w:pStyle w:val="FSTableText"/>
              <w:keepNext/>
              <w:keepLines/>
              <w:jc w:val="right"/>
              <w:rPr>
                <w:b/>
                <w:lang w:bidi="ar-SA"/>
              </w:rPr>
            </w:pPr>
            <w:r w:rsidRPr="00DD2C9F">
              <w:rPr>
                <w:b/>
                <w:lang w:bidi="ar-SA"/>
              </w:rPr>
              <w:t>mg/kg bw/day</w:t>
            </w:r>
          </w:p>
        </w:tc>
      </w:tr>
      <w:tr w:rsidR="00F866BA" w14:paraId="0863D641" w14:textId="77777777" w:rsidTr="00D7625B">
        <w:trPr>
          <w:trHeight w:val="283"/>
        </w:trPr>
        <w:tc>
          <w:tcPr>
            <w:tcW w:w="1164" w:type="dxa"/>
          </w:tcPr>
          <w:p w14:paraId="6ABBC64E" w14:textId="77777777" w:rsidR="00F866BA" w:rsidRDefault="00F866BA" w:rsidP="00D7625B">
            <w:pPr>
              <w:pStyle w:val="FSTableText"/>
              <w:keepNext/>
              <w:keepLines/>
              <w:rPr>
                <w:lang w:bidi="ar-SA"/>
              </w:rPr>
            </w:pPr>
            <w:r w:rsidRPr="00D84528">
              <w:rPr>
                <w:lang w:bidi="ar-SA"/>
              </w:rPr>
              <w:t>Australia</w:t>
            </w:r>
          </w:p>
        </w:tc>
        <w:tc>
          <w:tcPr>
            <w:tcW w:w="2092" w:type="dxa"/>
            <w:vAlign w:val="center"/>
          </w:tcPr>
          <w:p w14:paraId="40B38E21" w14:textId="77777777" w:rsidR="00F866BA" w:rsidRDefault="00F866BA" w:rsidP="00D7625B">
            <w:pPr>
              <w:pStyle w:val="FSTableText"/>
              <w:keepNext/>
              <w:keepLines/>
              <w:rPr>
                <w:lang w:bidi="ar-SA"/>
              </w:rPr>
            </w:pPr>
            <w:r w:rsidRPr="00D84528">
              <w:rPr>
                <w:lang w:bidi="ar-SA"/>
              </w:rPr>
              <w:t>2 years and above</w:t>
            </w:r>
          </w:p>
        </w:tc>
        <w:tc>
          <w:tcPr>
            <w:tcW w:w="665" w:type="dxa"/>
            <w:vAlign w:val="center"/>
          </w:tcPr>
          <w:p w14:paraId="43606221" w14:textId="77777777" w:rsidR="00F866BA" w:rsidRPr="00BD6E74" w:rsidRDefault="00F866BA" w:rsidP="00D7625B">
            <w:pPr>
              <w:pStyle w:val="FSTableText"/>
              <w:keepNext/>
              <w:keepLines/>
              <w:jc w:val="right"/>
              <w:rPr>
                <w:lang w:bidi="ar-SA"/>
              </w:rPr>
            </w:pPr>
            <w:r w:rsidRPr="00BD6E74">
              <w:rPr>
                <w:lang w:bidi="ar-SA"/>
              </w:rPr>
              <w:t>2.01</w:t>
            </w:r>
          </w:p>
        </w:tc>
        <w:tc>
          <w:tcPr>
            <w:tcW w:w="1595" w:type="dxa"/>
            <w:vAlign w:val="center"/>
          </w:tcPr>
          <w:p w14:paraId="63A1532B" w14:textId="77777777" w:rsidR="00F866BA" w:rsidRPr="00BD6E74" w:rsidRDefault="00F866BA" w:rsidP="00D7625B">
            <w:pPr>
              <w:pStyle w:val="FSTableText"/>
              <w:keepNext/>
              <w:keepLines/>
              <w:jc w:val="right"/>
              <w:rPr>
                <w:lang w:bidi="ar-SA"/>
              </w:rPr>
            </w:pPr>
            <w:r w:rsidRPr="00BD6E74">
              <w:rPr>
                <w:lang w:bidi="ar-SA"/>
              </w:rPr>
              <w:t>0.03</w:t>
            </w:r>
          </w:p>
        </w:tc>
        <w:tc>
          <w:tcPr>
            <w:tcW w:w="1249" w:type="dxa"/>
            <w:vAlign w:val="center"/>
          </w:tcPr>
          <w:p w14:paraId="3F0087E4" w14:textId="77777777" w:rsidR="00F866BA" w:rsidRPr="00BD6E74" w:rsidRDefault="00F866BA" w:rsidP="00D7625B">
            <w:pPr>
              <w:pStyle w:val="FSTableText"/>
              <w:keepNext/>
              <w:keepLines/>
              <w:jc w:val="right"/>
              <w:rPr>
                <w:lang w:bidi="ar-SA"/>
              </w:rPr>
            </w:pPr>
            <w:r w:rsidRPr="00BD6E74">
              <w:rPr>
                <w:lang w:bidi="ar-SA"/>
              </w:rPr>
              <w:t>3.71</w:t>
            </w:r>
          </w:p>
        </w:tc>
        <w:tc>
          <w:tcPr>
            <w:tcW w:w="1594" w:type="dxa"/>
            <w:vAlign w:val="center"/>
          </w:tcPr>
          <w:p w14:paraId="126A058E" w14:textId="77777777" w:rsidR="00F866BA" w:rsidRPr="00BD6E74" w:rsidRDefault="00F866BA" w:rsidP="00D7625B">
            <w:pPr>
              <w:pStyle w:val="FSTableText"/>
              <w:keepNext/>
              <w:keepLines/>
              <w:jc w:val="right"/>
              <w:rPr>
                <w:lang w:bidi="ar-SA"/>
              </w:rPr>
            </w:pPr>
            <w:r w:rsidRPr="00BD6E74">
              <w:rPr>
                <w:lang w:bidi="ar-SA"/>
              </w:rPr>
              <w:t>0.07</w:t>
            </w:r>
          </w:p>
        </w:tc>
      </w:tr>
      <w:tr w:rsidR="00F866BA" w14:paraId="550D8FA1" w14:textId="77777777" w:rsidTr="00D7625B">
        <w:trPr>
          <w:trHeight w:val="283"/>
        </w:trPr>
        <w:tc>
          <w:tcPr>
            <w:tcW w:w="1164" w:type="dxa"/>
            <w:vMerge w:val="restart"/>
          </w:tcPr>
          <w:p w14:paraId="791F41E5" w14:textId="77777777" w:rsidR="00F866BA" w:rsidRDefault="00F866BA" w:rsidP="00D7625B">
            <w:pPr>
              <w:pStyle w:val="FSTableText"/>
              <w:keepNext/>
              <w:keepLines/>
              <w:rPr>
                <w:lang w:bidi="ar-SA"/>
              </w:rPr>
            </w:pPr>
            <w:r w:rsidRPr="00D84528">
              <w:rPr>
                <w:lang w:bidi="ar-SA"/>
              </w:rPr>
              <w:t>New Zealand</w:t>
            </w:r>
          </w:p>
        </w:tc>
        <w:tc>
          <w:tcPr>
            <w:tcW w:w="2092" w:type="dxa"/>
            <w:vAlign w:val="center"/>
          </w:tcPr>
          <w:p w14:paraId="3F2FD691" w14:textId="77777777" w:rsidR="00F866BA" w:rsidRDefault="00F866BA" w:rsidP="00D7625B">
            <w:pPr>
              <w:pStyle w:val="FSTableText"/>
              <w:keepNext/>
              <w:keepLines/>
              <w:rPr>
                <w:lang w:bidi="ar-SA"/>
              </w:rPr>
            </w:pPr>
            <w:r w:rsidRPr="00D84528">
              <w:rPr>
                <w:lang w:bidi="ar-SA"/>
              </w:rPr>
              <w:t>Children 5-14 years</w:t>
            </w:r>
          </w:p>
        </w:tc>
        <w:tc>
          <w:tcPr>
            <w:tcW w:w="665" w:type="dxa"/>
            <w:vAlign w:val="center"/>
          </w:tcPr>
          <w:p w14:paraId="29475391" w14:textId="77777777" w:rsidR="00F866BA" w:rsidRPr="00BD6E74" w:rsidRDefault="00F866BA" w:rsidP="00D7625B">
            <w:pPr>
              <w:pStyle w:val="FSTableText"/>
              <w:keepNext/>
              <w:keepLines/>
              <w:jc w:val="right"/>
              <w:rPr>
                <w:lang w:bidi="ar-SA"/>
              </w:rPr>
            </w:pPr>
            <w:r w:rsidRPr="00BD6E74">
              <w:rPr>
                <w:lang w:bidi="ar-SA"/>
              </w:rPr>
              <w:t>2.26</w:t>
            </w:r>
          </w:p>
        </w:tc>
        <w:tc>
          <w:tcPr>
            <w:tcW w:w="1595" w:type="dxa"/>
            <w:vAlign w:val="center"/>
          </w:tcPr>
          <w:p w14:paraId="305DA1D1" w14:textId="77777777" w:rsidR="00F866BA" w:rsidRPr="00BD6E74" w:rsidRDefault="00F866BA" w:rsidP="00D7625B">
            <w:pPr>
              <w:pStyle w:val="FSTableText"/>
              <w:keepNext/>
              <w:keepLines/>
              <w:jc w:val="right"/>
              <w:rPr>
                <w:lang w:bidi="ar-SA"/>
              </w:rPr>
            </w:pPr>
            <w:r w:rsidRPr="00BD6E74">
              <w:rPr>
                <w:lang w:bidi="ar-SA"/>
              </w:rPr>
              <w:t>0.06</w:t>
            </w:r>
          </w:p>
        </w:tc>
        <w:tc>
          <w:tcPr>
            <w:tcW w:w="1249" w:type="dxa"/>
            <w:vAlign w:val="center"/>
          </w:tcPr>
          <w:p w14:paraId="131594FD" w14:textId="77777777" w:rsidR="00F866BA" w:rsidRPr="00BD6E74" w:rsidRDefault="00F866BA" w:rsidP="00D7625B">
            <w:pPr>
              <w:pStyle w:val="FSTableText"/>
              <w:keepNext/>
              <w:keepLines/>
              <w:jc w:val="right"/>
              <w:rPr>
                <w:lang w:bidi="ar-SA"/>
              </w:rPr>
            </w:pPr>
            <w:r w:rsidRPr="00BD6E74">
              <w:rPr>
                <w:lang w:bidi="ar-SA"/>
              </w:rPr>
              <w:t>3.88</w:t>
            </w:r>
          </w:p>
        </w:tc>
        <w:tc>
          <w:tcPr>
            <w:tcW w:w="1594" w:type="dxa"/>
            <w:vAlign w:val="center"/>
          </w:tcPr>
          <w:p w14:paraId="3E015B04" w14:textId="77777777" w:rsidR="00F866BA" w:rsidRPr="00BD6E74" w:rsidRDefault="00F866BA" w:rsidP="00D7625B">
            <w:pPr>
              <w:pStyle w:val="FSTableText"/>
              <w:keepNext/>
              <w:keepLines/>
              <w:jc w:val="right"/>
              <w:rPr>
                <w:lang w:bidi="ar-SA"/>
              </w:rPr>
            </w:pPr>
            <w:r w:rsidRPr="00BD6E74">
              <w:rPr>
                <w:lang w:bidi="ar-SA"/>
              </w:rPr>
              <w:t>0.11</w:t>
            </w:r>
          </w:p>
        </w:tc>
      </w:tr>
      <w:tr w:rsidR="00F866BA" w14:paraId="5F3FDF59" w14:textId="77777777" w:rsidTr="00D7625B">
        <w:trPr>
          <w:trHeight w:val="283"/>
        </w:trPr>
        <w:tc>
          <w:tcPr>
            <w:tcW w:w="1164" w:type="dxa"/>
            <w:vMerge/>
          </w:tcPr>
          <w:p w14:paraId="044BF1E7" w14:textId="77777777" w:rsidR="00F866BA" w:rsidRDefault="00F866BA" w:rsidP="00D7625B">
            <w:pPr>
              <w:keepNext/>
              <w:keepLines/>
              <w:rPr>
                <w:lang w:bidi="ar-SA"/>
              </w:rPr>
            </w:pPr>
          </w:p>
        </w:tc>
        <w:tc>
          <w:tcPr>
            <w:tcW w:w="2092" w:type="dxa"/>
            <w:vAlign w:val="center"/>
          </w:tcPr>
          <w:p w14:paraId="708BD94C" w14:textId="77777777" w:rsidR="00F866BA" w:rsidRDefault="00F866BA" w:rsidP="00D7625B">
            <w:pPr>
              <w:pStyle w:val="FSTableText"/>
              <w:keepNext/>
              <w:keepLines/>
              <w:rPr>
                <w:lang w:bidi="ar-SA"/>
              </w:rPr>
            </w:pPr>
            <w:r w:rsidRPr="00D84528">
              <w:rPr>
                <w:lang w:bidi="ar-SA"/>
              </w:rPr>
              <w:t>15 years and above</w:t>
            </w:r>
          </w:p>
        </w:tc>
        <w:tc>
          <w:tcPr>
            <w:tcW w:w="665" w:type="dxa"/>
            <w:vAlign w:val="center"/>
          </w:tcPr>
          <w:p w14:paraId="401C2328" w14:textId="77777777" w:rsidR="00F866BA" w:rsidRPr="00BD6E74" w:rsidRDefault="00F866BA" w:rsidP="00D7625B">
            <w:pPr>
              <w:pStyle w:val="FSTableText"/>
              <w:keepNext/>
              <w:keepLines/>
              <w:jc w:val="right"/>
              <w:rPr>
                <w:lang w:bidi="ar-SA"/>
              </w:rPr>
            </w:pPr>
            <w:r w:rsidRPr="00BD6E74">
              <w:rPr>
                <w:lang w:bidi="ar-SA"/>
              </w:rPr>
              <w:t>2.11</w:t>
            </w:r>
          </w:p>
        </w:tc>
        <w:tc>
          <w:tcPr>
            <w:tcW w:w="1595" w:type="dxa"/>
            <w:vAlign w:val="center"/>
          </w:tcPr>
          <w:p w14:paraId="127D9AC3" w14:textId="77777777" w:rsidR="00F866BA" w:rsidRPr="00BD6E74" w:rsidRDefault="00F866BA" w:rsidP="00D7625B">
            <w:pPr>
              <w:pStyle w:val="FSTableText"/>
              <w:keepNext/>
              <w:keepLines/>
              <w:jc w:val="right"/>
              <w:rPr>
                <w:lang w:bidi="ar-SA"/>
              </w:rPr>
            </w:pPr>
            <w:r w:rsidRPr="00BD6E74">
              <w:rPr>
                <w:lang w:bidi="ar-SA"/>
              </w:rPr>
              <w:t>0.03</w:t>
            </w:r>
          </w:p>
        </w:tc>
        <w:tc>
          <w:tcPr>
            <w:tcW w:w="1249" w:type="dxa"/>
            <w:vAlign w:val="center"/>
          </w:tcPr>
          <w:p w14:paraId="77A6ED86" w14:textId="77777777" w:rsidR="00F866BA" w:rsidRPr="00BD6E74" w:rsidRDefault="00F866BA" w:rsidP="00D7625B">
            <w:pPr>
              <w:pStyle w:val="FSTableText"/>
              <w:keepNext/>
              <w:keepLines/>
              <w:jc w:val="right"/>
              <w:rPr>
                <w:lang w:bidi="ar-SA"/>
              </w:rPr>
            </w:pPr>
            <w:r w:rsidRPr="00BD6E74">
              <w:rPr>
                <w:lang w:bidi="ar-SA"/>
              </w:rPr>
              <w:t>4.14</w:t>
            </w:r>
          </w:p>
        </w:tc>
        <w:tc>
          <w:tcPr>
            <w:tcW w:w="1594" w:type="dxa"/>
            <w:vAlign w:val="center"/>
          </w:tcPr>
          <w:p w14:paraId="59F320D8" w14:textId="77777777" w:rsidR="00F866BA" w:rsidRPr="00BD6E74" w:rsidRDefault="00F866BA" w:rsidP="00D7625B">
            <w:pPr>
              <w:pStyle w:val="FSTableText"/>
              <w:keepNext/>
              <w:keepLines/>
              <w:jc w:val="right"/>
              <w:rPr>
                <w:lang w:bidi="ar-SA"/>
              </w:rPr>
            </w:pPr>
            <w:r w:rsidRPr="00BD6E74">
              <w:rPr>
                <w:lang w:bidi="ar-SA"/>
              </w:rPr>
              <w:t>0.05</w:t>
            </w:r>
          </w:p>
        </w:tc>
      </w:tr>
    </w:tbl>
    <w:p w14:paraId="30685437" w14:textId="77777777" w:rsidR="00F866BA" w:rsidRPr="00B23CA5" w:rsidRDefault="00F866BA" w:rsidP="00F866BA">
      <w:pPr>
        <w:keepNext/>
        <w:keepLines/>
        <w:rPr>
          <w:sz w:val="18"/>
          <w:lang w:bidi="ar-SA"/>
        </w:rPr>
      </w:pPr>
      <w:r w:rsidRPr="00B23CA5">
        <w:rPr>
          <w:sz w:val="18"/>
          <w:lang w:bidi="ar-SA"/>
        </w:rPr>
        <w:t xml:space="preserve">* Based on </w:t>
      </w:r>
      <w:r>
        <w:rPr>
          <w:sz w:val="18"/>
          <w:lang w:bidi="ar-SA"/>
        </w:rPr>
        <w:t xml:space="preserve">0.005% </w:t>
      </w:r>
      <w:r w:rsidRPr="00B23CA5">
        <w:rPr>
          <w:sz w:val="18"/>
          <w:lang w:bidi="ar-SA"/>
        </w:rPr>
        <w:t>concentration of erucic acid in rapeseed protein isolate according to the specifications.</w:t>
      </w:r>
      <w:r>
        <w:rPr>
          <w:sz w:val="18"/>
          <w:lang w:bidi="ar-SA"/>
        </w:rPr>
        <w:t xml:space="preserve"> This is the limit of detection for the analytical method for erucic acid.</w:t>
      </w:r>
    </w:p>
    <w:p w14:paraId="2D7397A0" w14:textId="77777777" w:rsidR="00F866BA" w:rsidRDefault="00F866BA" w:rsidP="00F866BA">
      <w:pPr>
        <w:rPr>
          <w:lang w:bidi="ar-SA"/>
        </w:rPr>
      </w:pPr>
    </w:p>
    <w:p w14:paraId="468CA034" w14:textId="77777777" w:rsidR="00F866BA" w:rsidRDefault="00F866BA" w:rsidP="00F866BA">
      <w:pPr>
        <w:rPr>
          <w:lang w:bidi="ar-SA"/>
        </w:rPr>
      </w:pPr>
      <w:r>
        <w:t xml:space="preserve">Mean and 90th percentile dietary exposures to erucic acid from rapeseed protein isolate are </w:t>
      </w:r>
      <w:r w:rsidRPr="00BD6E74">
        <w:t>higher than</w:t>
      </w:r>
      <w:r>
        <w:t xml:space="preserve"> mean and 90</w:t>
      </w:r>
      <w:r w:rsidRPr="00B66226">
        <w:rPr>
          <w:vertAlign w:val="superscript"/>
        </w:rPr>
        <w:t>th</w:t>
      </w:r>
      <w:r>
        <w:t xml:space="preserve"> percentile dietary exposure from </w:t>
      </w:r>
      <w:r w:rsidRPr="00DA0240">
        <w:rPr>
          <w:i/>
          <w:lang w:bidi="ar-SA"/>
        </w:rPr>
        <w:t>Brassica</w:t>
      </w:r>
      <w:r>
        <w:t xml:space="preserve"> for all population groups assessed in Australia and New Zealand.</w:t>
      </w:r>
    </w:p>
    <w:p w14:paraId="1BEAC4E2" w14:textId="77777777" w:rsidR="00F866BA" w:rsidRDefault="00F866BA" w:rsidP="00F866BA">
      <w:pPr>
        <w:pStyle w:val="Heading4"/>
      </w:pPr>
      <w:r>
        <w:t>6.3.2.2</w:t>
      </w:r>
      <w:r>
        <w:tab/>
        <w:t>Glucosinolates</w:t>
      </w:r>
    </w:p>
    <w:p w14:paraId="188FCB59" w14:textId="77777777" w:rsidR="00F866BA" w:rsidRDefault="00F866BA" w:rsidP="00F866BA">
      <w:pPr>
        <w:pStyle w:val="Heading5"/>
      </w:pPr>
      <w:r w:rsidRPr="009822B6">
        <w:t>6.3.2.</w:t>
      </w:r>
      <w:r>
        <w:t>2</w:t>
      </w:r>
      <w:r w:rsidRPr="009822B6">
        <w:t>.</w:t>
      </w:r>
      <w:r>
        <w:tab/>
        <w:t xml:space="preserve">Dietary exposure to glucosinolates from </w:t>
      </w:r>
      <w:r w:rsidRPr="00DA0240">
        <w:t>Brassica</w:t>
      </w:r>
      <w:r>
        <w:t xml:space="preserve"> vegetables</w:t>
      </w:r>
    </w:p>
    <w:p w14:paraId="5F78E67A" w14:textId="77777777" w:rsidR="00F866BA" w:rsidRDefault="00F866BA" w:rsidP="00F866BA">
      <w:pPr>
        <w:autoSpaceDE w:val="0"/>
        <w:autoSpaceDN w:val="0"/>
        <w:adjustRightInd w:val="0"/>
        <w:rPr>
          <w:rFonts w:cs="Arial"/>
          <w:szCs w:val="22"/>
        </w:rPr>
      </w:pPr>
      <w:r w:rsidRPr="000E44C2">
        <w:rPr>
          <w:rFonts w:cs="Arial"/>
          <w:szCs w:val="22"/>
        </w:rPr>
        <w:t>Table 6.6 shows the mean and 90</w:t>
      </w:r>
      <w:r w:rsidRPr="000E44C2">
        <w:rPr>
          <w:rFonts w:cs="Arial"/>
          <w:szCs w:val="22"/>
          <w:vertAlign w:val="superscript"/>
        </w:rPr>
        <w:t>th</w:t>
      </w:r>
      <w:r w:rsidRPr="000E44C2">
        <w:rPr>
          <w:rFonts w:cs="Arial"/>
          <w:szCs w:val="22"/>
        </w:rPr>
        <w:t xml:space="preserve"> percentile dietary exposure to glucosinolates based on</w:t>
      </w:r>
      <w:r w:rsidRPr="0002678B">
        <w:rPr>
          <w:rFonts w:cs="Arial"/>
          <w:szCs w:val="22"/>
        </w:rPr>
        <w:t xml:space="preserve"> daily </w:t>
      </w:r>
      <w:r>
        <w:rPr>
          <w:rFonts w:cs="Arial"/>
          <w:szCs w:val="22"/>
        </w:rPr>
        <w:t>consumption</w:t>
      </w:r>
      <w:r w:rsidRPr="0002678B">
        <w:rPr>
          <w:rFonts w:cs="Arial"/>
          <w:szCs w:val="22"/>
        </w:rPr>
        <w:t xml:space="preserve"> of all </w:t>
      </w:r>
      <w:r w:rsidRPr="00DA0240">
        <w:rPr>
          <w:i/>
          <w:lang w:bidi="ar-SA"/>
        </w:rPr>
        <w:t>Brassica</w:t>
      </w:r>
      <w:r>
        <w:rPr>
          <w:i/>
          <w:lang w:bidi="ar-SA"/>
        </w:rPr>
        <w:t>s</w:t>
      </w:r>
      <w:r w:rsidRPr="0002678B">
        <w:rPr>
          <w:rFonts w:cs="Arial"/>
          <w:szCs w:val="22"/>
        </w:rPr>
        <w:t xml:space="preserve"> combined (broccoli, Brussel</w:t>
      </w:r>
      <w:r>
        <w:rPr>
          <w:rFonts w:cs="Arial"/>
          <w:szCs w:val="22"/>
        </w:rPr>
        <w:t>s</w:t>
      </w:r>
      <w:r w:rsidRPr="0002678B">
        <w:rPr>
          <w:rFonts w:cs="Arial"/>
          <w:szCs w:val="22"/>
        </w:rPr>
        <w:t xml:space="preserve"> sprouts, cabbage head and cauliflower).</w:t>
      </w:r>
    </w:p>
    <w:p w14:paraId="3C2ECBA9" w14:textId="77777777" w:rsidR="00F866BA" w:rsidRPr="0002678B" w:rsidRDefault="00F866BA" w:rsidP="00F866BA">
      <w:pPr>
        <w:autoSpaceDE w:val="0"/>
        <w:autoSpaceDN w:val="0"/>
        <w:adjustRightInd w:val="0"/>
        <w:rPr>
          <w:rFonts w:cs="Arial"/>
          <w:szCs w:val="22"/>
        </w:rPr>
      </w:pPr>
    </w:p>
    <w:p w14:paraId="6A47D71A" w14:textId="77777777" w:rsidR="00F866BA" w:rsidRPr="0002678B" w:rsidRDefault="00F866BA" w:rsidP="00F866BA">
      <w:pPr>
        <w:autoSpaceDE w:val="0"/>
        <w:autoSpaceDN w:val="0"/>
        <w:adjustRightInd w:val="0"/>
        <w:rPr>
          <w:rFonts w:cs="Arial"/>
          <w:szCs w:val="22"/>
        </w:rPr>
      </w:pPr>
      <w:r w:rsidRPr="0002678B">
        <w:rPr>
          <w:rFonts w:cs="Arial"/>
          <w:szCs w:val="22"/>
        </w:rPr>
        <w:t xml:space="preserve">Estimated mean dietary exposure to glucosinolates from </w:t>
      </w:r>
      <w:r w:rsidRPr="00DA0240">
        <w:rPr>
          <w:i/>
          <w:lang w:bidi="ar-SA"/>
        </w:rPr>
        <w:t>Brassica</w:t>
      </w:r>
      <w:r>
        <w:rPr>
          <w:i/>
          <w:lang w:bidi="ar-SA"/>
        </w:rPr>
        <w:t>s</w:t>
      </w:r>
      <w:r w:rsidRPr="0002678B">
        <w:rPr>
          <w:rFonts w:cs="Arial"/>
          <w:szCs w:val="22"/>
        </w:rPr>
        <w:t xml:space="preserve"> for Australians aged 2 years and above was 14.9 mg/day. Estimated mean dietary exposure to glucosinolates from </w:t>
      </w:r>
      <w:r w:rsidRPr="00DA0240">
        <w:rPr>
          <w:i/>
          <w:lang w:bidi="ar-SA"/>
        </w:rPr>
        <w:t>Brassica</w:t>
      </w:r>
      <w:r>
        <w:rPr>
          <w:i/>
          <w:lang w:bidi="ar-SA"/>
        </w:rPr>
        <w:t>s</w:t>
      </w:r>
      <w:r w:rsidRPr="0002678B">
        <w:rPr>
          <w:rFonts w:cs="Arial"/>
          <w:szCs w:val="22"/>
        </w:rPr>
        <w:t xml:space="preserve"> by New Zealand children 5-14 years and adults 15 years and above were 36.8</w:t>
      </w:r>
      <w:r>
        <w:rPr>
          <w:rFonts w:cs="Arial"/>
          <w:szCs w:val="22"/>
        </w:rPr>
        <w:t> </w:t>
      </w:r>
      <w:r w:rsidRPr="0002678B">
        <w:rPr>
          <w:rFonts w:cs="Arial"/>
          <w:szCs w:val="22"/>
        </w:rPr>
        <w:t xml:space="preserve">mg/day and 51.9 mg/day respectively. When expressed on a body weight basis, mean dietary exposure to glucosinolates from </w:t>
      </w:r>
      <w:r w:rsidRPr="00DA0240">
        <w:rPr>
          <w:i/>
          <w:lang w:bidi="ar-SA"/>
        </w:rPr>
        <w:t>Brassica</w:t>
      </w:r>
      <w:r>
        <w:rPr>
          <w:i/>
          <w:lang w:bidi="ar-SA"/>
        </w:rPr>
        <w:t>s</w:t>
      </w:r>
      <w:r w:rsidRPr="0002678B">
        <w:rPr>
          <w:rFonts w:cs="Arial"/>
          <w:szCs w:val="22"/>
        </w:rPr>
        <w:t xml:space="preserve"> was estimated for Australian</w:t>
      </w:r>
      <w:r>
        <w:rPr>
          <w:rFonts w:cs="Arial"/>
          <w:szCs w:val="22"/>
        </w:rPr>
        <w:t>s</w:t>
      </w:r>
      <w:r w:rsidRPr="0002678B">
        <w:rPr>
          <w:rFonts w:cs="Arial"/>
          <w:szCs w:val="22"/>
        </w:rPr>
        <w:t xml:space="preserve"> aged 2 years and above </w:t>
      </w:r>
      <w:r>
        <w:rPr>
          <w:rFonts w:cs="Arial"/>
          <w:szCs w:val="22"/>
        </w:rPr>
        <w:t xml:space="preserve">at </w:t>
      </w:r>
      <w:r w:rsidRPr="0002678B">
        <w:rPr>
          <w:rFonts w:cs="Arial"/>
          <w:szCs w:val="22"/>
        </w:rPr>
        <w:t>0.21 mg/kg bw/day</w:t>
      </w:r>
      <w:r>
        <w:rPr>
          <w:rFonts w:cs="Arial"/>
          <w:szCs w:val="22"/>
        </w:rPr>
        <w:t>,</w:t>
      </w:r>
      <w:r w:rsidRPr="0002678B">
        <w:rPr>
          <w:rFonts w:cs="Arial"/>
          <w:szCs w:val="22"/>
        </w:rPr>
        <w:t xml:space="preserve"> for New Zealand children at 0.92 mg/kg bw/day, </w:t>
      </w:r>
      <w:r>
        <w:rPr>
          <w:rFonts w:cs="Arial"/>
          <w:szCs w:val="22"/>
        </w:rPr>
        <w:t xml:space="preserve">and </w:t>
      </w:r>
      <w:r w:rsidRPr="0002678B">
        <w:rPr>
          <w:rFonts w:cs="Arial"/>
          <w:szCs w:val="22"/>
        </w:rPr>
        <w:t>for New Zeala</w:t>
      </w:r>
      <w:r>
        <w:rPr>
          <w:rFonts w:cs="Arial"/>
          <w:szCs w:val="22"/>
        </w:rPr>
        <w:t>nd adults at 0.66 mg/kg bw/day.</w:t>
      </w:r>
    </w:p>
    <w:p w14:paraId="6113EFF0" w14:textId="77777777" w:rsidR="00F866BA" w:rsidRPr="0002678B" w:rsidRDefault="00F866BA" w:rsidP="00F866BA">
      <w:pPr>
        <w:autoSpaceDE w:val="0"/>
        <w:autoSpaceDN w:val="0"/>
        <w:adjustRightInd w:val="0"/>
        <w:rPr>
          <w:rFonts w:cs="Arial"/>
          <w:szCs w:val="22"/>
        </w:rPr>
      </w:pPr>
    </w:p>
    <w:p w14:paraId="54E8AED1" w14:textId="77777777" w:rsidR="00F866BA" w:rsidRPr="0002678B" w:rsidRDefault="00F866BA" w:rsidP="00F866BA">
      <w:pPr>
        <w:autoSpaceDE w:val="0"/>
        <w:autoSpaceDN w:val="0"/>
        <w:adjustRightInd w:val="0"/>
        <w:rPr>
          <w:rFonts w:cs="Arial"/>
          <w:szCs w:val="22"/>
        </w:rPr>
      </w:pPr>
      <w:r w:rsidRPr="0002678B">
        <w:rPr>
          <w:rFonts w:cs="Arial"/>
          <w:szCs w:val="22"/>
        </w:rPr>
        <w:t>Estimated 90</w:t>
      </w:r>
      <w:r w:rsidRPr="0002678B">
        <w:rPr>
          <w:rFonts w:cs="Arial"/>
          <w:szCs w:val="22"/>
          <w:vertAlign w:val="superscript"/>
        </w:rPr>
        <w:t>th</w:t>
      </w:r>
      <w:r w:rsidRPr="0002678B">
        <w:rPr>
          <w:rFonts w:cs="Arial"/>
          <w:szCs w:val="22"/>
        </w:rPr>
        <w:t xml:space="preserve"> percentile dietary exposure to glucosinolates from </w:t>
      </w:r>
      <w:r w:rsidRPr="00DA0240">
        <w:rPr>
          <w:i/>
          <w:lang w:bidi="ar-SA"/>
        </w:rPr>
        <w:t>Brassica</w:t>
      </w:r>
      <w:r>
        <w:rPr>
          <w:i/>
          <w:lang w:bidi="ar-SA"/>
        </w:rPr>
        <w:t>s</w:t>
      </w:r>
      <w:r w:rsidRPr="0002678B">
        <w:rPr>
          <w:rFonts w:cs="Arial"/>
          <w:szCs w:val="22"/>
        </w:rPr>
        <w:t xml:space="preserve"> for Australians aged 2 years and above was 39.1 mg/day. Estimated 90</w:t>
      </w:r>
      <w:r w:rsidRPr="0002678B">
        <w:rPr>
          <w:rFonts w:cs="Arial"/>
          <w:szCs w:val="22"/>
          <w:vertAlign w:val="superscript"/>
        </w:rPr>
        <w:t>th</w:t>
      </w:r>
      <w:r w:rsidRPr="0002678B">
        <w:rPr>
          <w:rFonts w:cs="Arial"/>
          <w:szCs w:val="22"/>
        </w:rPr>
        <w:t xml:space="preserve"> percentile dietary exposure to glucosinolates from </w:t>
      </w:r>
      <w:r w:rsidRPr="00DA0240">
        <w:rPr>
          <w:i/>
          <w:lang w:bidi="ar-SA"/>
        </w:rPr>
        <w:t>Brassica</w:t>
      </w:r>
      <w:r>
        <w:rPr>
          <w:i/>
          <w:lang w:bidi="ar-SA"/>
        </w:rPr>
        <w:t>s</w:t>
      </w:r>
      <w:r w:rsidRPr="0002678B">
        <w:rPr>
          <w:rFonts w:cs="Arial"/>
          <w:szCs w:val="22"/>
        </w:rPr>
        <w:t xml:space="preserve"> by New Zealand children 5-14 years and adults 15 years and above were 86.6 mg/day and 110.3 mg/day respectively. When expressed on a body weight basis, 90</w:t>
      </w:r>
      <w:r w:rsidRPr="0002678B">
        <w:rPr>
          <w:rFonts w:cs="Arial"/>
          <w:szCs w:val="22"/>
          <w:vertAlign w:val="superscript"/>
        </w:rPr>
        <w:t>th</w:t>
      </w:r>
      <w:r w:rsidRPr="0002678B">
        <w:rPr>
          <w:rFonts w:cs="Arial"/>
          <w:szCs w:val="22"/>
        </w:rPr>
        <w:t xml:space="preserve"> percentile dietary exposure to glucosinolates from </w:t>
      </w:r>
      <w:r w:rsidRPr="00DA0240">
        <w:rPr>
          <w:i/>
          <w:lang w:bidi="ar-SA"/>
        </w:rPr>
        <w:t>Brassica</w:t>
      </w:r>
      <w:r>
        <w:rPr>
          <w:i/>
          <w:lang w:bidi="ar-SA"/>
        </w:rPr>
        <w:t>s</w:t>
      </w:r>
      <w:r w:rsidRPr="0002678B">
        <w:rPr>
          <w:rFonts w:cs="Arial"/>
          <w:szCs w:val="22"/>
        </w:rPr>
        <w:t xml:space="preserve"> was estimated for Australian aged 2 years and above </w:t>
      </w:r>
      <w:r>
        <w:rPr>
          <w:rFonts w:cs="Arial"/>
          <w:szCs w:val="22"/>
        </w:rPr>
        <w:t xml:space="preserve">at </w:t>
      </w:r>
      <w:r w:rsidRPr="0002678B">
        <w:rPr>
          <w:rFonts w:cs="Arial"/>
          <w:szCs w:val="22"/>
        </w:rPr>
        <w:t>0.56 mg/kg bw/day</w:t>
      </w:r>
      <w:r>
        <w:rPr>
          <w:rFonts w:cs="Arial"/>
          <w:szCs w:val="22"/>
        </w:rPr>
        <w:t>,</w:t>
      </w:r>
      <w:r w:rsidRPr="0002678B">
        <w:rPr>
          <w:rFonts w:cs="Arial"/>
          <w:szCs w:val="22"/>
        </w:rPr>
        <w:t xml:space="preserve"> for New Zealand children 2.17</w:t>
      </w:r>
      <w:r>
        <w:rPr>
          <w:rFonts w:cs="Arial"/>
          <w:szCs w:val="22"/>
        </w:rPr>
        <w:t> </w:t>
      </w:r>
      <w:r w:rsidRPr="0002678B">
        <w:rPr>
          <w:rFonts w:cs="Arial"/>
          <w:szCs w:val="22"/>
        </w:rPr>
        <w:t xml:space="preserve">mg/kg bw/day, </w:t>
      </w:r>
      <w:r>
        <w:rPr>
          <w:rFonts w:cs="Arial"/>
          <w:szCs w:val="22"/>
        </w:rPr>
        <w:t xml:space="preserve">and </w:t>
      </w:r>
      <w:r w:rsidRPr="0002678B">
        <w:rPr>
          <w:rFonts w:cs="Arial"/>
          <w:szCs w:val="22"/>
        </w:rPr>
        <w:t xml:space="preserve">for New Zealand </w:t>
      </w:r>
      <w:r>
        <w:rPr>
          <w:rFonts w:cs="Arial"/>
          <w:szCs w:val="22"/>
        </w:rPr>
        <w:t>adults at 1.4 mg/kg bw/day.</w:t>
      </w:r>
    </w:p>
    <w:p w14:paraId="7D875F97" w14:textId="77777777" w:rsidR="00F866BA" w:rsidRPr="0002678B" w:rsidRDefault="00F866BA" w:rsidP="00F866BA">
      <w:pPr>
        <w:rPr>
          <w:rFonts w:cs="Arial"/>
          <w:szCs w:val="22"/>
          <w:lang w:bidi="ar-SA"/>
        </w:rPr>
      </w:pPr>
    </w:p>
    <w:p w14:paraId="4D6B11A0" w14:textId="77777777" w:rsidR="00F866BA" w:rsidRPr="003726CF" w:rsidRDefault="00F866BA" w:rsidP="00F866BA">
      <w:pPr>
        <w:keepNext/>
        <w:keepLines/>
        <w:rPr>
          <w:rFonts w:cs="Arial"/>
          <w:i/>
          <w:szCs w:val="22"/>
        </w:rPr>
      </w:pPr>
      <w:r w:rsidRPr="003726CF">
        <w:rPr>
          <w:rFonts w:cs="Arial"/>
          <w:b/>
          <w:i/>
          <w:szCs w:val="22"/>
        </w:rPr>
        <w:t>Table 6.6</w:t>
      </w:r>
      <w:r w:rsidRPr="003726CF">
        <w:rPr>
          <w:rFonts w:cs="Arial"/>
          <w:b/>
          <w:i/>
          <w:szCs w:val="22"/>
        </w:rPr>
        <w:tab/>
      </w:r>
      <w:r w:rsidRPr="003726CF">
        <w:rPr>
          <w:rFonts w:cs="Arial"/>
          <w:i/>
          <w:szCs w:val="22"/>
        </w:rPr>
        <w:t>Estimated mean and 90</w:t>
      </w:r>
      <w:r w:rsidRPr="003726CF">
        <w:rPr>
          <w:rFonts w:cs="Arial"/>
          <w:i/>
          <w:szCs w:val="22"/>
          <w:vertAlign w:val="superscript"/>
        </w:rPr>
        <w:t>th</w:t>
      </w:r>
      <w:r w:rsidRPr="003726CF">
        <w:rPr>
          <w:rFonts w:cs="Arial"/>
          <w:i/>
          <w:szCs w:val="22"/>
        </w:rPr>
        <w:t xml:space="preserve"> percentile dietary exposure to glucosinolates from </w:t>
      </w:r>
      <w:r w:rsidRPr="00DA0240">
        <w:rPr>
          <w:i/>
          <w:lang w:bidi="ar-SA"/>
        </w:rPr>
        <w:t>Brassica</w:t>
      </w:r>
      <w:r w:rsidRPr="003726CF">
        <w:rPr>
          <w:rFonts w:cs="Arial"/>
          <w:i/>
          <w:szCs w:val="22"/>
        </w:rPr>
        <w:t xml:space="preserve"> vegetables</w:t>
      </w:r>
    </w:p>
    <w:p w14:paraId="1F900503" w14:textId="77777777" w:rsidR="00F866BA" w:rsidRPr="00436CA6" w:rsidRDefault="00F866BA" w:rsidP="00F866BA">
      <w:pPr>
        <w:keepNext/>
        <w:keepLines/>
        <w:rPr>
          <w:rFonts w:ascii="Calibri" w:hAnsi="Calibri" w:cs="Calibri"/>
          <w:i/>
          <w:sz w:val="24"/>
        </w:rPr>
      </w:pPr>
    </w:p>
    <w:tbl>
      <w:tblPr>
        <w:tblW w:w="9070" w:type="dxa"/>
        <w:tblInd w:w="-5" w:type="dxa"/>
        <w:tblLayout w:type="fixed"/>
        <w:tblLook w:val="04A0" w:firstRow="1" w:lastRow="0" w:firstColumn="1" w:lastColumn="0" w:noHBand="0" w:noVBand="1"/>
        <w:tblCaption w:val="Estimated mean and 90th percentile dietary exposure to glucosinolates from brassica vegetables"/>
        <w:tblDescription w:val="Table 6.6 has 6 columns, the first column is the country, second column is population age in years, the third column is the mean exposure in gram per day and fourth column is the mean exposure in grams per kilogram per body weight per day. The fifth column is 90th percentile exposure in grams per day and last column is the 90th percentile exposure in grams per kilogram per body weight per day. Estimated dietary exposures are based on the average of two days of data for Australia, and only one day of data for New Zealand"/>
      </w:tblPr>
      <w:tblGrid>
        <w:gridCol w:w="1134"/>
        <w:gridCol w:w="1985"/>
        <w:gridCol w:w="1487"/>
        <w:gridCol w:w="1488"/>
        <w:gridCol w:w="1488"/>
        <w:gridCol w:w="1488"/>
      </w:tblGrid>
      <w:tr w:rsidR="00F866BA" w:rsidRPr="0002678B" w14:paraId="691CC482" w14:textId="77777777" w:rsidTr="00D7625B">
        <w:trPr>
          <w:trHeight w:val="300"/>
        </w:trPr>
        <w:tc>
          <w:tcPr>
            <w:tcW w:w="1134" w:type="dxa"/>
            <w:vMerge w:val="restart"/>
            <w:tcBorders>
              <w:top w:val="single" w:sz="4" w:space="0" w:color="auto"/>
              <w:left w:val="single" w:sz="4" w:space="0" w:color="auto"/>
              <w:right w:val="single" w:sz="4" w:space="0" w:color="auto"/>
            </w:tcBorders>
          </w:tcPr>
          <w:p w14:paraId="731D0E6A" w14:textId="77777777" w:rsidR="00F866BA" w:rsidRPr="0002678B" w:rsidRDefault="00F866BA" w:rsidP="00D7625B">
            <w:pPr>
              <w:keepNext/>
              <w:keepLines/>
              <w:rPr>
                <w:rFonts w:ascii="Calibri" w:hAnsi="Calibri" w:cs="Calibri"/>
                <w:b/>
                <w:color w:val="000000"/>
                <w:lang w:eastAsia="en-GB"/>
              </w:rPr>
            </w:pPr>
            <w:r w:rsidRPr="0002678B">
              <w:rPr>
                <w:rFonts w:ascii="Calibri" w:hAnsi="Calibri" w:cs="Calibri"/>
                <w:b/>
                <w:color w:val="000000"/>
                <w:lang w:eastAsia="en-GB"/>
              </w:rPr>
              <w:t>Country*</w:t>
            </w:r>
          </w:p>
        </w:tc>
        <w:tc>
          <w:tcPr>
            <w:tcW w:w="1985" w:type="dxa"/>
            <w:vMerge w:val="restart"/>
            <w:tcBorders>
              <w:top w:val="single" w:sz="4" w:space="0" w:color="auto"/>
              <w:left w:val="single" w:sz="4" w:space="0" w:color="auto"/>
              <w:right w:val="single" w:sz="4" w:space="0" w:color="auto"/>
            </w:tcBorders>
            <w:shd w:val="clear" w:color="auto" w:fill="auto"/>
            <w:noWrap/>
            <w:vAlign w:val="bottom"/>
            <w:hideMark/>
          </w:tcPr>
          <w:p w14:paraId="3CBEFFE7" w14:textId="77777777" w:rsidR="00F866BA" w:rsidRPr="00DD2C9F" w:rsidRDefault="00F866BA" w:rsidP="00D7625B">
            <w:pPr>
              <w:pStyle w:val="FSTableText"/>
              <w:keepNext/>
              <w:keepLines/>
              <w:rPr>
                <w:b/>
                <w:lang w:bidi="ar-SA"/>
              </w:rPr>
            </w:pPr>
            <w:r w:rsidRPr="00DD2C9F">
              <w:rPr>
                <w:b/>
                <w:lang w:bidi="ar-SA"/>
              </w:rPr>
              <w:t>Population age (years)</w:t>
            </w:r>
          </w:p>
        </w:tc>
        <w:tc>
          <w:tcPr>
            <w:tcW w:w="297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6C2374" w14:textId="77777777" w:rsidR="00F866BA" w:rsidRPr="00DD2C9F" w:rsidRDefault="00F866BA" w:rsidP="00D7625B">
            <w:pPr>
              <w:pStyle w:val="FSTableText"/>
              <w:keepNext/>
              <w:keepLines/>
              <w:jc w:val="center"/>
              <w:rPr>
                <w:b/>
                <w:lang w:bidi="ar-SA"/>
              </w:rPr>
            </w:pPr>
            <w:r w:rsidRPr="00DD2C9F">
              <w:rPr>
                <w:b/>
                <w:lang w:bidi="ar-SA"/>
              </w:rPr>
              <w:t>Mean</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98C725" w14:textId="77777777" w:rsidR="00F866BA" w:rsidRPr="00DD2C9F" w:rsidRDefault="00F866BA" w:rsidP="00D7625B">
            <w:pPr>
              <w:pStyle w:val="FSTableText"/>
              <w:keepNext/>
              <w:keepLines/>
              <w:jc w:val="center"/>
              <w:rPr>
                <w:b/>
                <w:lang w:bidi="ar-SA"/>
              </w:rPr>
            </w:pPr>
            <w:r w:rsidRPr="00DD2C9F">
              <w:rPr>
                <w:b/>
                <w:lang w:bidi="ar-SA"/>
              </w:rPr>
              <w:t>90th Percentile</w:t>
            </w:r>
          </w:p>
        </w:tc>
      </w:tr>
      <w:tr w:rsidR="00F866BA" w:rsidRPr="0002678B" w14:paraId="254DFCB5" w14:textId="77777777" w:rsidTr="00D7625B">
        <w:trPr>
          <w:trHeight w:val="380"/>
        </w:trPr>
        <w:tc>
          <w:tcPr>
            <w:tcW w:w="1134" w:type="dxa"/>
            <w:vMerge/>
            <w:tcBorders>
              <w:left w:val="single" w:sz="4" w:space="0" w:color="auto"/>
              <w:bottom w:val="single" w:sz="4" w:space="0" w:color="auto"/>
              <w:right w:val="single" w:sz="4" w:space="0" w:color="auto"/>
            </w:tcBorders>
          </w:tcPr>
          <w:p w14:paraId="0FABA8FD" w14:textId="77777777" w:rsidR="00F866BA" w:rsidRPr="0002678B" w:rsidRDefault="00F866BA" w:rsidP="00D7625B">
            <w:pPr>
              <w:keepNext/>
              <w:keepLines/>
              <w:rPr>
                <w:rFonts w:ascii="Calibri" w:hAnsi="Calibri" w:cs="Calibri"/>
                <w:b/>
                <w:color w:val="000000"/>
                <w:lang w:eastAsia="en-GB"/>
              </w:rPr>
            </w:pPr>
          </w:p>
        </w:tc>
        <w:tc>
          <w:tcPr>
            <w:tcW w:w="1985" w:type="dxa"/>
            <w:vMerge/>
            <w:tcBorders>
              <w:left w:val="single" w:sz="4" w:space="0" w:color="auto"/>
              <w:bottom w:val="single" w:sz="4" w:space="0" w:color="auto"/>
              <w:right w:val="single" w:sz="4" w:space="0" w:color="auto"/>
            </w:tcBorders>
            <w:shd w:val="clear" w:color="auto" w:fill="auto"/>
            <w:noWrap/>
            <w:vAlign w:val="bottom"/>
            <w:hideMark/>
          </w:tcPr>
          <w:p w14:paraId="477EABC1" w14:textId="77777777" w:rsidR="00F866BA" w:rsidRPr="00DD2C9F" w:rsidRDefault="00F866BA" w:rsidP="00D7625B">
            <w:pPr>
              <w:pStyle w:val="FSTableText"/>
              <w:keepNext/>
              <w:keepLines/>
              <w:rPr>
                <w:b/>
                <w:lang w:bidi="ar-SA"/>
              </w:rPr>
            </w:pPr>
          </w:p>
        </w:tc>
        <w:tc>
          <w:tcPr>
            <w:tcW w:w="1487" w:type="dxa"/>
            <w:tcBorders>
              <w:top w:val="nil"/>
              <w:left w:val="nil"/>
              <w:bottom w:val="single" w:sz="4" w:space="0" w:color="auto"/>
              <w:right w:val="single" w:sz="4" w:space="0" w:color="auto"/>
            </w:tcBorders>
            <w:shd w:val="clear" w:color="auto" w:fill="auto"/>
            <w:vAlign w:val="bottom"/>
            <w:hideMark/>
          </w:tcPr>
          <w:p w14:paraId="618FEDA4" w14:textId="77777777" w:rsidR="00F866BA" w:rsidRPr="00DD2C9F" w:rsidRDefault="00F866BA" w:rsidP="00D7625B">
            <w:pPr>
              <w:pStyle w:val="FSTableText"/>
              <w:keepNext/>
              <w:keepLines/>
              <w:jc w:val="right"/>
              <w:rPr>
                <w:b/>
                <w:lang w:bidi="ar-SA"/>
              </w:rPr>
            </w:pPr>
            <w:r w:rsidRPr="00DD2C9F">
              <w:rPr>
                <w:b/>
                <w:lang w:bidi="ar-SA"/>
              </w:rPr>
              <w:t>mg/day</w:t>
            </w:r>
          </w:p>
        </w:tc>
        <w:tc>
          <w:tcPr>
            <w:tcW w:w="1488" w:type="dxa"/>
            <w:tcBorders>
              <w:top w:val="nil"/>
              <w:left w:val="nil"/>
              <w:bottom w:val="single" w:sz="4" w:space="0" w:color="auto"/>
              <w:right w:val="single" w:sz="4" w:space="0" w:color="auto"/>
            </w:tcBorders>
            <w:shd w:val="clear" w:color="auto" w:fill="auto"/>
            <w:vAlign w:val="bottom"/>
            <w:hideMark/>
          </w:tcPr>
          <w:p w14:paraId="699CA74F" w14:textId="77777777" w:rsidR="00F866BA" w:rsidRPr="00DD2C9F" w:rsidRDefault="00F866BA" w:rsidP="00D7625B">
            <w:pPr>
              <w:pStyle w:val="FSTableText"/>
              <w:keepNext/>
              <w:keepLines/>
              <w:jc w:val="right"/>
              <w:rPr>
                <w:b/>
                <w:lang w:bidi="ar-SA"/>
              </w:rPr>
            </w:pPr>
            <w:r w:rsidRPr="00DD2C9F">
              <w:rPr>
                <w:b/>
                <w:lang w:bidi="ar-SA"/>
              </w:rPr>
              <w:t>mg/kg bw/day</w:t>
            </w:r>
          </w:p>
        </w:tc>
        <w:tc>
          <w:tcPr>
            <w:tcW w:w="1488" w:type="dxa"/>
            <w:tcBorders>
              <w:top w:val="nil"/>
              <w:left w:val="nil"/>
              <w:bottom w:val="single" w:sz="4" w:space="0" w:color="auto"/>
              <w:right w:val="single" w:sz="4" w:space="0" w:color="auto"/>
            </w:tcBorders>
            <w:shd w:val="clear" w:color="auto" w:fill="auto"/>
            <w:vAlign w:val="bottom"/>
            <w:hideMark/>
          </w:tcPr>
          <w:p w14:paraId="39CB6FC5" w14:textId="77777777" w:rsidR="00F866BA" w:rsidRPr="00DD2C9F" w:rsidRDefault="00F866BA" w:rsidP="00D7625B">
            <w:pPr>
              <w:pStyle w:val="FSTableText"/>
              <w:keepNext/>
              <w:keepLines/>
              <w:jc w:val="right"/>
              <w:rPr>
                <w:b/>
                <w:lang w:bidi="ar-SA"/>
              </w:rPr>
            </w:pPr>
            <w:r w:rsidRPr="00DD2C9F">
              <w:rPr>
                <w:b/>
                <w:lang w:bidi="ar-SA"/>
              </w:rPr>
              <w:t>mg/day</w:t>
            </w:r>
          </w:p>
        </w:tc>
        <w:tc>
          <w:tcPr>
            <w:tcW w:w="1488" w:type="dxa"/>
            <w:tcBorders>
              <w:top w:val="nil"/>
              <w:left w:val="nil"/>
              <w:bottom w:val="single" w:sz="4" w:space="0" w:color="auto"/>
              <w:right w:val="single" w:sz="4" w:space="0" w:color="auto"/>
            </w:tcBorders>
            <w:shd w:val="clear" w:color="auto" w:fill="auto"/>
            <w:vAlign w:val="bottom"/>
            <w:hideMark/>
          </w:tcPr>
          <w:p w14:paraId="4C8BABE3" w14:textId="77777777" w:rsidR="00F866BA" w:rsidRPr="00DD2C9F" w:rsidRDefault="00F866BA" w:rsidP="00D7625B">
            <w:pPr>
              <w:pStyle w:val="FSTableText"/>
              <w:keepNext/>
              <w:keepLines/>
              <w:jc w:val="right"/>
              <w:rPr>
                <w:b/>
                <w:lang w:bidi="ar-SA"/>
              </w:rPr>
            </w:pPr>
            <w:r w:rsidRPr="00DD2C9F">
              <w:rPr>
                <w:b/>
                <w:lang w:bidi="ar-SA"/>
              </w:rPr>
              <w:t>mg/kg bw/day</w:t>
            </w:r>
          </w:p>
        </w:tc>
      </w:tr>
      <w:tr w:rsidR="00F866BA" w:rsidRPr="000D2A80" w14:paraId="47039F6B" w14:textId="77777777" w:rsidTr="00D7625B">
        <w:trPr>
          <w:trHeight w:val="300"/>
        </w:trPr>
        <w:tc>
          <w:tcPr>
            <w:tcW w:w="1134" w:type="dxa"/>
            <w:tcBorders>
              <w:top w:val="nil"/>
              <w:left w:val="single" w:sz="4" w:space="0" w:color="auto"/>
              <w:bottom w:val="single" w:sz="4" w:space="0" w:color="auto"/>
              <w:right w:val="single" w:sz="4" w:space="0" w:color="auto"/>
            </w:tcBorders>
          </w:tcPr>
          <w:p w14:paraId="3BE46C0B" w14:textId="77777777" w:rsidR="00F866BA" w:rsidRPr="00DD2C9F" w:rsidRDefault="00F866BA" w:rsidP="00D7625B">
            <w:pPr>
              <w:pStyle w:val="FSTableText"/>
              <w:keepNext/>
              <w:keepLines/>
              <w:rPr>
                <w:lang w:bidi="ar-SA"/>
              </w:rPr>
            </w:pPr>
            <w:r w:rsidRPr="00DD2C9F">
              <w:rPr>
                <w:lang w:bidi="ar-SA"/>
              </w:rPr>
              <w:t>Australia</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511B5FE" w14:textId="77777777" w:rsidR="00F866BA" w:rsidRPr="00DD2C9F" w:rsidRDefault="00F866BA" w:rsidP="00D7625B">
            <w:pPr>
              <w:pStyle w:val="FSTableText"/>
              <w:keepNext/>
              <w:keepLines/>
              <w:rPr>
                <w:lang w:bidi="ar-SA"/>
              </w:rPr>
            </w:pPr>
            <w:r w:rsidRPr="00DD2C9F">
              <w:rPr>
                <w:lang w:bidi="ar-SA"/>
              </w:rPr>
              <w:t>2 years and above</w:t>
            </w:r>
          </w:p>
        </w:tc>
        <w:tc>
          <w:tcPr>
            <w:tcW w:w="1487" w:type="dxa"/>
            <w:tcBorders>
              <w:top w:val="nil"/>
              <w:left w:val="nil"/>
              <w:bottom w:val="single" w:sz="4" w:space="0" w:color="auto"/>
              <w:right w:val="single" w:sz="4" w:space="0" w:color="auto"/>
            </w:tcBorders>
            <w:shd w:val="clear" w:color="auto" w:fill="auto"/>
            <w:noWrap/>
            <w:vAlign w:val="center"/>
          </w:tcPr>
          <w:p w14:paraId="537F9C80" w14:textId="77777777" w:rsidR="00F866BA" w:rsidRPr="00DD2C9F" w:rsidRDefault="00F866BA" w:rsidP="00D7625B">
            <w:pPr>
              <w:pStyle w:val="FSTableText"/>
              <w:keepNext/>
              <w:keepLines/>
              <w:jc w:val="right"/>
              <w:rPr>
                <w:lang w:bidi="ar-SA"/>
              </w:rPr>
            </w:pPr>
            <w:r w:rsidRPr="00DD2C9F">
              <w:rPr>
                <w:lang w:bidi="ar-SA"/>
              </w:rPr>
              <w:t>14.9</w:t>
            </w:r>
          </w:p>
        </w:tc>
        <w:tc>
          <w:tcPr>
            <w:tcW w:w="1488" w:type="dxa"/>
            <w:tcBorders>
              <w:top w:val="nil"/>
              <w:left w:val="nil"/>
              <w:bottom w:val="single" w:sz="4" w:space="0" w:color="auto"/>
              <w:right w:val="single" w:sz="4" w:space="0" w:color="auto"/>
            </w:tcBorders>
            <w:shd w:val="clear" w:color="auto" w:fill="auto"/>
            <w:noWrap/>
            <w:vAlign w:val="center"/>
          </w:tcPr>
          <w:p w14:paraId="61A3C26C" w14:textId="77777777" w:rsidR="00F866BA" w:rsidRPr="00DD2C9F" w:rsidRDefault="00F866BA" w:rsidP="00D7625B">
            <w:pPr>
              <w:pStyle w:val="FSTableText"/>
              <w:keepNext/>
              <w:keepLines/>
              <w:jc w:val="right"/>
              <w:rPr>
                <w:lang w:bidi="ar-SA"/>
              </w:rPr>
            </w:pPr>
            <w:r w:rsidRPr="00DD2C9F">
              <w:rPr>
                <w:lang w:bidi="ar-SA"/>
              </w:rPr>
              <w:t>0.21</w:t>
            </w:r>
          </w:p>
        </w:tc>
        <w:tc>
          <w:tcPr>
            <w:tcW w:w="1488" w:type="dxa"/>
            <w:tcBorders>
              <w:top w:val="nil"/>
              <w:left w:val="nil"/>
              <w:bottom w:val="single" w:sz="4" w:space="0" w:color="auto"/>
              <w:right w:val="single" w:sz="4" w:space="0" w:color="auto"/>
            </w:tcBorders>
            <w:shd w:val="clear" w:color="auto" w:fill="auto"/>
            <w:noWrap/>
            <w:vAlign w:val="center"/>
          </w:tcPr>
          <w:p w14:paraId="6266A6F6" w14:textId="77777777" w:rsidR="00F866BA" w:rsidRPr="00DD2C9F" w:rsidRDefault="00F866BA" w:rsidP="00D7625B">
            <w:pPr>
              <w:pStyle w:val="FSTableText"/>
              <w:keepNext/>
              <w:keepLines/>
              <w:jc w:val="right"/>
              <w:rPr>
                <w:lang w:bidi="ar-SA"/>
              </w:rPr>
            </w:pPr>
            <w:r w:rsidRPr="00DD2C9F">
              <w:rPr>
                <w:lang w:bidi="ar-SA"/>
              </w:rPr>
              <w:t>39.1</w:t>
            </w:r>
          </w:p>
        </w:tc>
        <w:tc>
          <w:tcPr>
            <w:tcW w:w="1488" w:type="dxa"/>
            <w:tcBorders>
              <w:top w:val="nil"/>
              <w:left w:val="nil"/>
              <w:bottom w:val="single" w:sz="4" w:space="0" w:color="auto"/>
              <w:right w:val="single" w:sz="4" w:space="0" w:color="auto"/>
            </w:tcBorders>
            <w:shd w:val="clear" w:color="auto" w:fill="auto"/>
            <w:noWrap/>
            <w:vAlign w:val="center"/>
          </w:tcPr>
          <w:p w14:paraId="172023A1" w14:textId="77777777" w:rsidR="00F866BA" w:rsidRPr="00DD2C9F" w:rsidRDefault="00F866BA" w:rsidP="00D7625B">
            <w:pPr>
              <w:pStyle w:val="FSTableText"/>
              <w:keepNext/>
              <w:keepLines/>
              <w:jc w:val="right"/>
              <w:rPr>
                <w:lang w:bidi="ar-SA"/>
              </w:rPr>
            </w:pPr>
            <w:r w:rsidRPr="00DD2C9F">
              <w:rPr>
                <w:lang w:bidi="ar-SA"/>
              </w:rPr>
              <w:t>0.56</w:t>
            </w:r>
          </w:p>
        </w:tc>
      </w:tr>
      <w:tr w:rsidR="00F866BA" w:rsidRPr="000D2A80" w14:paraId="6895E369" w14:textId="77777777" w:rsidTr="00D7625B">
        <w:trPr>
          <w:trHeight w:val="300"/>
        </w:trPr>
        <w:tc>
          <w:tcPr>
            <w:tcW w:w="1134" w:type="dxa"/>
            <w:vMerge w:val="restart"/>
            <w:tcBorders>
              <w:top w:val="nil"/>
              <w:left w:val="single" w:sz="4" w:space="0" w:color="auto"/>
              <w:right w:val="single" w:sz="4" w:space="0" w:color="auto"/>
            </w:tcBorders>
          </w:tcPr>
          <w:p w14:paraId="7107B418" w14:textId="77777777" w:rsidR="00F866BA" w:rsidRPr="00DD2C9F" w:rsidRDefault="00F866BA" w:rsidP="00D7625B">
            <w:pPr>
              <w:pStyle w:val="FSTableText"/>
              <w:keepNext/>
              <w:keepLines/>
              <w:rPr>
                <w:lang w:bidi="ar-SA"/>
              </w:rPr>
            </w:pPr>
            <w:r w:rsidRPr="00DD2C9F">
              <w:rPr>
                <w:lang w:bidi="ar-SA"/>
              </w:rPr>
              <w:t>New Zealand</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F94EFF5" w14:textId="77777777" w:rsidR="00F866BA" w:rsidRPr="00DD2C9F" w:rsidRDefault="00F866BA" w:rsidP="00D7625B">
            <w:pPr>
              <w:pStyle w:val="FSTableText"/>
              <w:keepNext/>
              <w:keepLines/>
              <w:rPr>
                <w:lang w:bidi="ar-SA"/>
              </w:rPr>
            </w:pPr>
            <w:r w:rsidRPr="00DD2C9F">
              <w:rPr>
                <w:lang w:bidi="ar-SA"/>
              </w:rPr>
              <w:t>Children 5-14 years</w:t>
            </w:r>
          </w:p>
        </w:tc>
        <w:tc>
          <w:tcPr>
            <w:tcW w:w="1487" w:type="dxa"/>
            <w:tcBorders>
              <w:top w:val="nil"/>
              <w:left w:val="nil"/>
              <w:bottom w:val="single" w:sz="4" w:space="0" w:color="auto"/>
              <w:right w:val="single" w:sz="4" w:space="0" w:color="auto"/>
            </w:tcBorders>
            <w:shd w:val="clear" w:color="auto" w:fill="auto"/>
            <w:noWrap/>
            <w:vAlign w:val="center"/>
          </w:tcPr>
          <w:p w14:paraId="1FC671EF" w14:textId="77777777" w:rsidR="00F866BA" w:rsidRPr="00DD2C9F" w:rsidRDefault="00F866BA" w:rsidP="00D7625B">
            <w:pPr>
              <w:pStyle w:val="FSTableText"/>
              <w:keepNext/>
              <w:keepLines/>
              <w:jc w:val="right"/>
              <w:rPr>
                <w:lang w:bidi="ar-SA"/>
              </w:rPr>
            </w:pPr>
            <w:r w:rsidRPr="00DD2C9F">
              <w:rPr>
                <w:lang w:bidi="ar-SA"/>
              </w:rPr>
              <w:t>36.8</w:t>
            </w:r>
          </w:p>
        </w:tc>
        <w:tc>
          <w:tcPr>
            <w:tcW w:w="1488" w:type="dxa"/>
            <w:tcBorders>
              <w:top w:val="nil"/>
              <w:left w:val="nil"/>
              <w:bottom w:val="single" w:sz="4" w:space="0" w:color="auto"/>
              <w:right w:val="single" w:sz="4" w:space="0" w:color="auto"/>
            </w:tcBorders>
            <w:shd w:val="clear" w:color="auto" w:fill="auto"/>
            <w:noWrap/>
            <w:vAlign w:val="center"/>
          </w:tcPr>
          <w:p w14:paraId="1B0D8ED4" w14:textId="77777777" w:rsidR="00F866BA" w:rsidRPr="00DD2C9F" w:rsidRDefault="00F866BA" w:rsidP="00D7625B">
            <w:pPr>
              <w:pStyle w:val="FSTableText"/>
              <w:keepNext/>
              <w:keepLines/>
              <w:jc w:val="right"/>
              <w:rPr>
                <w:lang w:bidi="ar-SA"/>
              </w:rPr>
            </w:pPr>
            <w:r w:rsidRPr="00DD2C9F">
              <w:rPr>
                <w:lang w:bidi="ar-SA"/>
              </w:rPr>
              <w:t>0.92</w:t>
            </w:r>
          </w:p>
        </w:tc>
        <w:tc>
          <w:tcPr>
            <w:tcW w:w="1488" w:type="dxa"/>
            <w:tcBorders>
              <w:top w:val="nil"/>
              <w:left w:val="nil"/>
              <w:bottom w:val="single" w:sz="4" w:space="0" w:color="auto"/>
              <w:right w:val="single" w:sz="4" w:space="0" w:color="auto"/>
            </w:tcBorders>
            <w:shd w:val="clear" w:color="auto" w:fill="auto"/>
            <w:noWrap/>
            <w:vAlign w:val="center"/>
          </w:tcPr>
          <w:p w14:paraId="722D2CE9" w14:textId="77777777" w:rsidR="00F866BA" w:rsidRPr="00DD2C9F" w:rsidRDefault="00F866BA" w:rsidP="00D7625B">
            <w:pPr>
              <w:pStyle w:val="FSTableText"/>
              <w:keepNext/>
              <w:keepLines/>
              <w:jc w:val="right"/>
              <w:rPr>
                <w:lang w:bidi="ar-SA"/>
              </w:rPr>
            </w:pPr>
            <w:r w:rsidRPr="00DD2C9F">
              <w:rPr>
                <w:lang w:bidi="ar-SA"/>
              </w:rPr>
              <w:t>86.6</w:t>
            </w:r>
          </w:p>
        </w:tc>
        <w:tc>
          <w:tcPr>
            <w:tcW w:w="1488" w:type="dxa"/>
            <w:tcBorders>
              <w:top w:val="nil"/>
              <w:left w:val="nil"/>
              <w:bottom w:val="single" w:sz="4" w:space="0" w:color="auto"/>
              <w:right w:val="single" w:sz="4" w:space="0" w:color="auto"/>
            </w:tcBorders>
            <w:shd w:val="clear" w:color="auto" w:fill="auto"/>
            <w:noWrap/>
            <w:vAlign w:val="center"/>
          </w:tcPr>
          <w:p w14:paraId="4A20D4F0" w14:textId="77777777" w:rsidR="00F866BA" w:rsidRPr="00DD2C9F" w:rsidRDefault="00F866BA" w:rsidP="00D7625B">
            <w:pPr>
              <w:pStyle w:val="FSTableText"/>
              <w:keepNext/>
              <w:keepLines/>
              <w:jc w:val="right"/>
              <w:rPr>
                <w:lang w:bidi="ar-SA"/>
              </w:rPr>
            </w:pPr>
            <w:r w:rsidRPr="00DD2C9F">
              <w:rPr>
                <w:lang w:bidi="ar-SA"/>
              </w:rPr>
              <w:t>2.17</w:t>
            </w:r>
          </w:p>
        </w:tc>
      </w:tr>
      <w:tr w:rsidR="00F866BA" w:rsidRPr="000D2A80" w14:paraId="19398138" w14:textId="77777777" w:rsidTr="00D7625B">
        <w:trPr>
          <w:trHeight w:val="300"/>
        </w:trPr>
        <w:tc>
          <w:tcPr>
            <w:tcW w:w="1134" w:type="dxa"/>
            <w:vMerge/>
            <w:tcBorders>
              <w:left w:val="single" w:sz="4" w:space="0" w:color="auto"/>
              <w:bottom w:val="single" w:sz="4" w:space="0" w:color="auto"/>
              <w:right w:val="single" w:sz="4" w:space="0" w:color="auto"/>
            </w:tcBorders>
          </w:tcPr>
          <w:p w14:paraId="59422662" w14:textId="77777777" w:rsidR="00F866BA" w:rsidRPr="00DD2C9F" w:rsidRDefault="00F866BA" w:rsidP="00D7625B">
            <w:pPr>
              <w:pStyle w:val="FSTableText"/>
              <w:keepNext/>
              <w:keepLines/>
              <w:rPr>
                <w:lang w:bidi="ar-SA"/>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9C76560" w14:textId="77777777" w:rsidR="00F866BA" w:rsidRPr="00DD2C9F" w:rsidRDefault="00F866BA" w:rsidP="00D7625B">
            <w:pPr>
              <w:pStyle w:val="FSTableText"/>
              <w:keepNext/>
              <w:keepLines/>
              <w:rPr>
                <w:lang w:bidi="ar-SA"/>
              </w:rPr>
            </w:pPr>
            <w:r w:rsidRPr="00DD2C9F">
              <w:rPr>
                <w:lang w:bidi="ar-SA"/>
              </w:rPr>
              <w:t>15 years and above</w:t>
            </w:r>
          </w:p>
        </w:tc>
        <w:tc>
          <w:tcPr>
            <w:tcW w:w="1487" w:type="dxa"/>
            <w:tcBorders>
              <w:top w:val="nil"/>
              <w:left w:val="nil"/>
              <w:bottom w:val="single" w:sz="4" w:space="0" w:color="auto"/>
              <w:right w:val="single" w:sz="4" w:space="0" w:color="auto"/>
            </w:tcBorders>
            <w:shd w:val="clear" w:color="auto" w:fill="auto"/>
            <w:noWrap/>
            <w:vAlign w:val="center"/>
          </w:tcPr>
          <w:p w14:paraId="518903AB" w14:textId="77777777" w:rsidR="00F866BA" w:rsidRPr="00DD2C9F" w:rsidRDefault="00F866BA" w:rsidP="00D7625B">
            <w:pPr>
              <w:pStyle w:val="FSTableText"/>
              <w:keepNext/>
              <w:keepLines/>
              <w:jc w:val="right"/>
              <w:rPr>
                <w:lang w:bidi="ar-SA"/>
              </w:rPr>
            </w:pPr>
            <w:r w:rsidRPr="00DD2C9F">
              <w:rPr>
                <w:lang w:bidi="ar-SA"/>
              </w:rPr>
              <w:t>51.9</w:t>
            </w:r>
          </w:p>
        </w:tc>
        <w:tc>
          <w:tcPr>
            <w:tcW w:w="1488" w:type="dxa"/>
            <w:tcBorders>
              <w:top w:val="nil"/>
              <w:left w:val="nil"/>
              <w:bottom w:val="single" w:sz="4" w:space="0" w:color="auto"/>
              <w:right w:val="single" w:sz="4" w:space="0" w:color="auto"/>
            </w:tcBorders>
            <w:shd w:val="clear" w:color="auto" w:fill="auto"/>
            <w:noWrap/>
            <w:vAlign w:val="center"/>
          </w:tcPr>
          <w:p w14:paraId="105E9143" w14:textId="77777777" w:rsidR="00F866BA" w:rsidRPr="00DD2C9F" w:rsidRDefault="00F866BA" w:rsidP="00D7625B">
            <w:pPr>
              <w:pStyle w:val="FSTableText"/>
              <w:keepNext/>
              <w:keepLines/>
              <w:jc w:val="right"/>
              <w:rPr>
                <w:lang w:bidi="ar-SA"/>
              </w:rPr>
            </w:pPr>
            <w:r w:rsidRPr="00DD2C9F">
              <w:rPr>
                <w:lang w:bidi="ar-SA"/>
              </w:rPr>
              <w:t>0.66</w:t>
            </w:r>
          </w:p>
        </w:tc>
        <w:tc>
          <w:tcPr>
            <w:tcW w:w="1488" w:type="dxa"/>
            <w:tcBorders>
              <w:top w:val="nil"/>
              <w:left w:val="nil"/>
              <w:bottom w:val="single" w:sz="4" w:space="0" w:color="auto"/>
              <w:right w:val="single" w:sz="4" w:space="0" w:color="auto"/>
            </w:tcBorders>
            <w:shd w:val="clear" w:color="auto" w:fill="auto"/>
            <w:noWrap/>
            <w:vAlign w:val="center"/>
          </w:tcPr>
          <w:p w14:paraId="16F77E86" w14:textId="77777777" w:rsidR="00F866BA" w:rsidRPr="00DD2C9F" w:rsidRDefault="00F866BA" w:rsidP="00D7625B">
            <w:pPr>
              <w:pStyle w:val="FSTableText"/>
              <w:keepNext/>
              <w:keepLines/>
              <w:jc w:val="right"/>
              <w:rPr>
                <w:lang w:bidi="ar-SA"/>
              </w:rPr>
            </w:pPr>
            <w:r w:rsidRPr="00DD2C9F">
              <w:rPr>
                <w:lang w:bidi="ar-SA"/>
              </w:rPr>
              <w:t>110.3</w:t>
            </w:r>
          </w:p>
        </w:tc>
        <w:tc>
          <w:tcPr>
            <w:tcW w:w="1488" w:type="dxa"/>
            <w:tcBorders>
              <w:top w:val="nil"/>
              <w:left w:val="nil"/>
              <w:bottom w:val="single" w:sz="4" w:space="0" w:color="auto"/>
              <w:right w:val="single" w:sz="4" w:space="0" w:color="auto"/>
            </w:tcBorders>
            <w:shd w:val="clear" w:color="auto" w:fill="auto"/>
            <w:noWrap/>
            <w:vAlign w:val="center"/>
          </w:tcPr>
          <w:p w14:paraId="2FBDA396" w14:textId="77777777" w:rsidR="00F866BA" w:rsidRPr="00DD2C9F" w:rsidRDefault="00F866BA" w:rsidP="00D7625B">
            <w:pPr>
              <w:pStyle w:val="FSTableText"/>
              <w:keepNext/>
              <w:keepLines/>
              <w:jc w:val="right"/>
              <w:rPr>
                <w:lang w:bidi="ar-SA"/>
              </w:rPr>
            </w:pPr>
            <w:r w:rsidRPr="00DD2C9F">
              <w:rPr>
                <w:lang w:bidi="ar-SA"/>
              </w:rPr>
              <w:t>1.40</w:t>
            </w:r>
          </w:p>
        </w:tc>
      </w:tr>
    </w:tbl>
    <w:p w14:paraId="4E1EFF02" w14:textId="77777777" w:rsidR="00F866BA" w:rsidRDefault="00F866BA" w:rsidP="00F866BA">
      <w:pPr>
        <w:ind w:left="284" w:hanging="284"/>
      </w:pPr>
      <w:r w:rsidRPr="005F6122">
        <w:rPr>
          <w:sz w:val="18"/>
        </w:rPr>
        <w:t>* Estimated dietary exposures are based on the average of two days of data for Australia, and only one day of data for New Zealand.</w:t>
      </w:r>
    </w:p>
    <w:p w14:paraId="1629DC60" w14:textId="77777777" w:rsidR="00F866BA" w:rsidRPr="009822B6" w:rsidRDefault="00F866BA" w:rsidP="00F866BA">
      <w:pPr>
        <w:pStyle w:val="Heading5"/>
        <w:keepLines/>
      </w:pPr>
      <w:r w:rsidRPr="009822B6">
        <w:t>6.3.2.</w:t>
      </w:r>
      <w:r>
        <w:t>2</w:t>
      </w:r>
      <w:r w:rsidRPr="009822B6">
        <w:t>.</w:t>
      </w:r>
      <w:r>
        <w:t>2</w:t>
      </w:r>
      <w:r>
        <w:tab/>
        <w:t>Dietary exposure to glucosinolates</w:t>
      </w:r>
      <w:r w:rsidRPr="009822B6">
        <w:t xml:space="preserve"> from rapeseed protein isolate </w:t>
      </w:r>
      <w:r>
        <w:t xml:space="preserve">with a </w:t>
      </w:r>
      <w:r w:rsidRPr="009822B6">
        <w:t>compar</w:t>
      </w:r>
      <w:r>
        <w:t>ison</w:t>
      </w:r>
      <w:r w:rsidRPr="009822B6">
        <w:t xml:space="preserve"> to </w:t>
      </w:r>
      <w:r>
        <w:t xml:space="preserve">dietary exposures from </w:t>
      </w:r>
      <w:r w:rsidRPr="00D15586">
        <w:t>Brassica</w:t>
      </w:r>
      <w:r>
        <w:t xml:space="preserve"> vegetables</w:t>
      </w:r>
    </w:p>
    <w:p w14:paraId="5EF810E3" w14:textId="77777777" w:rsidR="00F866BA" w:rsidRPr="000050F5" w:rsidRDefault="00F866BA" w:rsidP="00F866BA">
      <w:pPr>
        <w:keepNext/>
        <w:keepLines/>
      </w:pPr>
      <w:r w:rsidRPr="000050F5">
        <w:t>Table 6.7 shows the estimated dietary exposure to glucosinolates from rapeseed protein isolate</w:t>
      </w:r>
      <w:r>
        <w:t xml:space="preserve"> based on proposed typical use levels</w:t>
      </w:r>
      <w:r w:rsidRPr="000050F5">
        <w:t>.</w:t>
      </w:r>
    </w:p>
    <w:p w14:paraId="6DACAF47" w14:textId="77777777" w:rsidR="00F866BA" w:rsidRPr="000050F5" w:rsidRDefault="00F866BA" w:rsidP="00F866BA"/>
    <w:p w14:paraId="14CD1654" w14:textId="77777777" w:rsidR="00F866BA" w:rsidRPr="000050F5" w:rsidRDefault="00F866BA" w:rsidP="00F866BA">
      <w:r w:rsidRPr="000050F5">
        <w:t>Estimated mean dietary exposures to glucosinolates from rapeseed protein isolate</w:t>
      </w:r>
      <w:r>
        <w:t xml:space="preserve"> based on proposed typical use levels</w:t>
      </w:r>
      <w:r w:rsidRPr="000050F5">
        <w:t xml:space="preserve"> for Australians aged 2 years and above was </w:t>
      </w:r>
      <w:r>
        <w:t>18.3</w:t>
      </w:r>
      <w:r w:rsidRPr="000050F5">
        <w:t xml:space="preserve"> mg/day. Mean dietary exposure for New Zealand children 5-14 years and adults 15 years and above were </w:t>
      </w:r>
      <w:r>
        <w:t>20.6</w:t>
      </w:r>
      <w:r w:rsidRPr="000050F5">
        <w:t xml:space="preserve"> mg/day and </w:t>
      </w:r>
      <w:r>
        <w:t>19.2</w:t>
      </w:r>
      <w:r w:rsidRPr="000050F5">
        <w:t xml:space="preserve"> mg/day respectively. When expressed on a body weight basis, estimated mean daily exposure for Australian aged 2 years and above was </w:t>
      </w:r>
      <w:r>
        <w:t>0.30</w:t>
      </w:r>
      <w:r w:rsidRPr="000050F5">
        <w:t xml:space="preserve"> mg/kg bw/day and for New Zealand children and adults </w:t>
      </w:r>
      <w:r w:rsidRPr="00BD6E74">
        <w:t>were 0.57 mg/kg bw</w:t>
      </w:r>
      <w:r w:rsidRPr="000050F5">
        <w:t xml:space="preserve">/day and </w:t>
      </w:r>
      <w:r>
        <w:t>0.25</w:t>
      </w:r>
      <w:r w:rsidRPr="000050F5">
        <w:t xml:space="preserve"> mg/kg bw/day respectively.</w:t>
      </w:r>
    </w:p>
    <w:p w14:paraId="1ADE5EC6" w14:textId="77777777" w:rsidR="00F866BA" w:rsidRPr="000050F5" w:rsidRDefault="00F866BA" w:rsidP="00F866BA"/>
    <w:p w14:paraId="5FE685A1" w14:textId="6AFFCC5D" w:rsidR="00F866BA" w:rsidRPr="000050F5" w:rsidRDefault="00F866BA" w:rsidP="00F866BA">
      <w:r w:rsidRPr="000050F5">
        <w:t>Estimated 90th percentile dietary exposures to glucosinolates from rapeseed protein isolate for Austral</w:t>
      </w:r>
      <w:r>
        <w:t>ians aged 2 years and above was</w:t>
      </w:r>
      <w:r w:rsidRPr="000050F5">
        <w:t xml:space="preserve"> </w:t>
      </w:r>
      <w:r>
        <w:t>33.8</w:t>
      </w:r>
      <w:r w:rsidRPr="000050F5">
        <w:t xml:space="preserve"> mg/day. Estimated 90th percentile dietary exposure for New Zealand children 5-14 years and adults 15 years and above were </w:t>
      </w:r>
      <w:r>
        <w:t>35.3</w:t>
      </w:r>
      <w:r w:rsidRPr="000050F5">
        <w:t> </w:t>
      </w:r>
      <w:r>
        <w:t>mg/day and</w:t>
      </w:r>
      <w:r w:rsidRPr="000050F5">
        <w:t xml:space="preserve"> </w:t>
      </w:r>
      <w:r>
        <w:t>37.7</w:t>
      </w:r>
      <w:r w:rsidRPr="000050F5">
        <w:t xml:space="preserve"> mg/day respectively. When expressed on a body weight basis, estimated 90th percentile daily exposure to glucosinolates fr</w:t>
      </w:r>
      <w:r w:rsidR="0009796E">
        <w:t>om rapeseed protein isolate was</w:t>
      </w:r>
      <w:r w:rsidRPr="000050F5">
        <w:t xml:space="preserve"> </w:t>
      </w:r>
      <w:r>
        <w:t>0.61</w:t>
      </w:r>
      <w:r w:rsidRPr="000050F5">
        <w:t xml:space="preserve"> mg/kg bw/day for Australian aged 2 years and above and </w:t>
      </w:r>
      <w:r>
        <w:t>1.04</w:t>
      </w:r>
      <w:r w:rsidRPr="000050F5">
        <w:t xml:space="preserve"> mg/kg bw/day for New Zealand </w:t>
      </w:r>
      <w:r w:rsidRPr="00BD6E74">
        <w:t>children and</w:t>
      </w:r>
      <w:r w:rsidRPr="000050F5">
        <w:t xml:space="preserve"> </w:t>
      </w:r>
      <w:r>
        <w:t>0.50</w:t>
      </w:r>
      <w:r w:rsidRPr="000050F5">
        <w:t xml:space="preserve"> mg/kg bw/day for the adults.</w:t>
      </w:r>
    </w:p>
    <w:p w14:paraId="29A15811" w14:textId="77777777" w:rsidR="00F866BA" w:rsidRPr="000050F5" w:rsidRDefault="00F866BA" w:rsidP="00F866BA"/>
    <w:p w14:paraId="2DBC5134" w14:textId="77777777" w:rsidR="00F866BA" w:rsidRDefault="00F866BA" w:rsidP="00F866BA">
      <w:pPr>
        <w:keepNext/>
        <w:keepLines/>
        <w:rPr>
          <w:i/>
          <w:lang w:bidi="ar-SA"/>
        </w:rPr>
      </w:pPr>
      <w:r w:rsidRPr="00436CA6">
        <w:rPr>
          <w:b/>
          <w:i/>
          <w:lang w:bidi="ar-SA"/>
        </w:rPr>
        <w:t>Table 6.7</w:t>
      </w:r>
      <w:r w:rsidRPr="00436CA6">
        <w:rPr>
          <w:b/>
          <w:i/>
          <w:lang w:bidi="ar-SA"/>
        </w:rPr>
        <w:tab/>
      </w:r>
      <w:r w:rsidRPr="00436CA6">
        <w:rPr>
          <w:i/>
          <w:lang w:bidi="ar-SA"/>
        </w:rPr>
        <w:t>Estimated dietary exposure to glucosinolates from rapeseed protein isolate</w:t>
      </w:r>
      <w:r>
        <w:rPr>
          <w:i/>
          <w:lang w:bidi="ar-SA"/>
        </w:rPr>
        <w:t xml:space="preserve"> based on proposed typical use levels</w:t>
      </w:r>
      <w:r w:rsidRPr="00436CA6">
        <w:rPr>
          <w:i/>
          <w:lang w:bidi="ar-SA"/>
        </w:rPr>
        <w:t>*</w:t>
      </w:r>
    </w:p>
    <w:p w14:paraId="2C84073E" w14:textId="77777777" w:rsidR="00F866BA" w:rsidRPr="00436CA6" w:rsidRDefault="00F866BA" w:rsidP="00F866BA">
      <w:pPr>
        <w:keepNext/>
        <w:keepLines/>
        <w:rPr>
          <w:i/>
          <w:lang w:bidi="ar-SA"/>
        </w:rPr>
      </w:pPr>
    </w:p>
    <w:tbl>
      <w:tblPr>
        <w:tblStyle w:val="TableGrid"/>
        <w:tblW w:w="0" w:type="auto"/>
        <w:tblLayout w:type="fixed"/>
        <w:tblLook w:val="04A0" w:firstRow="1" w:lastRow="0" w:firstColumn="1" w:lastColumn="0" w:noHBand="0" w:noVBand="1"/>
        <w:tblCaption w:val="Estimated dietary exposure to glucosinolates from rapeseed protein isolate"/>
        <w:tblDescription w:val="Table 6.7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The estimates was based on 1µmoles /g concentration of glucosinolates in rapeseed protein isolate according to the specifications. Calculations for total glucosinolates based on molecular weight of 455 g/mol (VanEtten et. al. 1980)."/>
      </w:tblPr>
      <w:tblGrid>
        <w:gridCol w:w="995"/>
        <w:gridCol w:w="2119"/>
        <w:gridCol w:w="992"/>
        <w:gridCol w:w="1276"/>
        <w:gridCol w:w="1276"/>
        <w:gridCol w:w="1134"/>
      </w:tblGrid>
      <w:tr w:rsidR="00F866BA" w14:paraId="00D31C4E" w14:textId="77777777" w:rsidTr="00D7625B">
        <w:tc>
          <w:tcPr>
            <w:tcW w:w="995" w:type="dxa"/>
            <w:vMerge w:val="restart"/>
            <w:vAlign w:val="bottom"/>
          </w:tcPr>
          <w:p w14:paraId="601696B6" w14:textId="77777777" w:rsidR="00F866BA" w:rsidRPr="004F5B81" w:rsidRDefault="00F866BA" w:rsidP="00D7625B">
            <w:pPr>
              <w:keepNext/>
              <w:keepLines/>
              <w:rPr>
                <w:b/>
                <w:lang w:bidi="ar-SA"/>
              </w:rPr>
            </w:pPr>
            <w:r w:rsidRPr="004F5B81">
              <w:rPr>
                <w:b/>
                <w:sz w:val="20"/>
                <w:lang w:bidi="ar-SA"/>
              </w:rPr>
              <w:t>Country</w:t>
            </w:r>
          </w:p>
        </w:tc>
        <w:tc>
          <w:tcPr>
            <w:tcW w:w="2119" w:type="dxa"/>
            <w:vMerge w:val="restart"/>
            <w:vAlign w:val="bottom"/>
          </w:tcPr>
          <w:p w14:paraId="5DA09F01" w14:textId="77777777" w:rsidR="00F866BA" w:rsidRPr="004F5B81" w:rsidRDefault="00F866BA" w:rsidP="00D7625B">
            <w:pPr>
              <w:pStyle w:val="FSTableText"/>
              <w:keepNext/>
              <w:keepLines/>
              <w:rPr>
                <w:rFonts w:ascii="Calibri" w:hAnsi="Calibri" w:cs="Calibri"/>
                <w:b/>
                <w:color w:val="000000"/>
                <w:lang w:eastAsia="en-GB"/>
              </w:rPr>
            </w:pPr>
            <w:r w:rsidRPr="004F5B81">
              <w:rPr>
                <w:b/>
                <w:lang w:bidi="ar-SA"/>
              </w:rPr>
              <w:t>Population age (years)</w:t>
            </w:r>
          </w:p>
        </w:tc>
        <w:tc>
          <w:tcPr>
            <w:tcW w:w="2268" w:type="dxa"/>
            <w:gridSpan w:val="2"/>
            <w:shd w:val="clear" w:color="auto" w:fill="auto"/>
            <w:vAlign w:val="bottom"/>
          </w:tcPr>
          <w:p w14:paraId="7600CFDD" w14:textId="77777777" w:rsidR="00F866BA" w:rsidRPr="004F5B81" w:rsidRDefault="00F866BA" w:rsidP="00D7625B">
            <w:pPr>
              <w:keepNext/>
              <w:keepLines/>
              <w:jc w:val="center"/>
              <w:rPr>
                <w:b/>
                <w:lang w:bidi="ar-SA"/>
              </w:rPr>
            </w:pPr>
            <w:r w:rsidRPr="004F5B81">
              <w:rPr>
                <w:rFonts w:ascii="Calibri" w:hAnsi="Calibri" w:cs="Calibri"/>
                <w:b/>
                <w:color w:val="000000"/>
                <w:lang w:eastAsia="en-GB"/>
              </w:rPr>
              <w:t>Mean</w:t>
            </w:r>
          </w:p>
        </w:tc>
        <w:tc>
          <w:tcPr>
            <w:tcW w:w="2410" w:type="dxa"/>
            <w:gridSpan w:val="2"/>
            <w:vAlign w:val="bottom"/>
          </w:tcPr>
          <w:p w14:paraId="18333DB6" w14:textId="77777777" w:rsidR="00F866BA" w:rsidRPr="004F5B81" w:rsidRDefault="00F866BA" w:rsidP="00D7625B">
            <w:pPr>
              <w:keepNext/>
              <w:keepLines/>
              <w:jc w:val="center"/>
              <w:rPr>
                <w:b/>
                <w:lang w:bidi="ar-SA"/>
              </w:rPr>
            </w:pPr>
            <w:r w:rsidRPr="004F5B81">
              <w:rPr>
                <w:rFonts w:ascii="Calibri" w:hAnsi="Calibri" w:cs="Calibri"/>
                <w:b/>
                <w:color w:val="000000"/>
                <w:lang w:eastAsia="en-GB"/>
              </w:rPr>
              <w:t>90</w:t>
            </w:r>
            <w:r w:rsidRPr="004F5B81">
              <w:rPr>
                <w:rFonts w:ascii="Calibri" w:hAnsi="Calibri" w:cs="Calibri"/>
                <w:b/>
                <w:color w:val="000000"/>
                <w:vertAlign w:val="superscript"/>
                <w:lang w:eastAsia="en-GB"/>
              </w:rPr>
              <w:t>th</w:t>
            </w:r>
            <w:r w:rsidRPr="004F5B81">
              <w:rPr>
                <w:rFonts w:ascii="Calibri" w:hAnsi="Calibri" w:cs="Calibri"/>
                <w:b/>
                <w:color w:val="000000"/>
                <w:lang w:eastAsia="en-GB"/>
              </w:rPr>
              <w:t xml:space="preserve"> Percentile</w:t>
            </w:r>
          </w:p>
        </w:tc>
      </w:tr>
      <w:tr w:rsidR="00F866BA" w14:paraId="0F373612" w14:textId="77777777" w:rsidTr="00D7625B">
        <w:tc>
          <w:tcPr>
            <w:tcW w:w="995" w:type="dxa"/>
            <w:vMerge/>
          </w:tcPr>
          <w:p w14:paraId="3DF17DC1" w14:textId="77777777" w:rsidR="00F866BA" w:rsidRPr="004F5B81" w:rsidRDefault="00F866BA" w:rsidP="00D7625B">
            <w:pPr>
              <w:keepNext/>
              <w:keepLines/>
              <w:rPr>
                <w:b/>
                <w:lang w:bidi="ar-SA"/>
              </w:rPr>
            </w:pPr>
          </w:p>
        </w:tc>
        <w:tc>
          <w:tcPr>
            <w:tcW w:w="2119" w:type="dxa"/>
            <w:vMerge/>
          </w:tcPr>
          <w:p w14:paraId="74722F66" w14:textId="77777777" w:rsidR="00F866BA" w:rsidRPr="004F5B81" w:rsidRDefault="00F866BA" w:rsidP="00D7625B">
            <w:pPr>
              <w:pStyle w:val="FSTableText"/>
              <w:keepNext/>
              <w:keepLines/>
              <w:rPr>
                <w:b/>
                <w:lang w:bidi="ar-SA"/>
              </w:rPr>
            </w:pPr>
          </w:p>
        </w:tc>
        <w:tc>
          <w:tcPr>
            <w:tcW w:w="992" w:type="dxa"/>
            <w:vAlign w:val="bottom"/>
          </w:tcPr>
          <w:p w14:paraId="5B916300" w14:textId="77777777" w:rsidR="00F866BA" w:rsidRPr="004F5B81" w:rsidRDefault="00F866BA" w:rsidP="00D7625B">
            <w:pPr>
              <w:pStyle w:val="FSTableText"/>
              <w:keepNext/>
              <w:keepLines/>
              <w:jc w:val="right"/>
              <w:rPr>
                <w:b/>
                <w:lang w:bidi="ar-SA"/>
              </w:rPr>
            </w:pPr>
            <w:r w:rsidRPr="004F5B81">
              <w:rPr>
                <w:b/>
                <w:lang w:bidi="ar-SA"/>
              </w:rPr>
              <w:t>mg/day</w:t>
            </w:r>
          </w:p>
        </w:tc>
        <w:tc>
          <w:tcPr>
            <w:tcW w:w="1276" w:type="dxa"/>
            <w:vAlign w:val="bottom"/>
          </w:tcPr>
          <w:p w14:paraId="738FD615" w14:textId="77777777" w:rsidR="00F866BA" w:rsidRPr="004F5B81" w:rsidRDefault="00F866BA" w:rsidP="00D7625B">
            <w:pPr>
              <w:pStyle w:val="FSTableText"/>
              <w:keepNext/>
              <w:keepLines/>
              <w:jc w:val="right"/>
              <w:rPr>
                <w:b/>
                <w:lang w:bidi="ar-SA"/>
              </w:rPr>
            </w:pPr>
            <w:r w:rsidRPr="004F5B81">
              <w:rPr>
                <w:b/>
                <w:lang w:bidi="ar-SA"/>
              </w:rPr>
              <w:t>mg/kg bw/day</w:t>
            </w:r>
          </w:p>
        </w:tc>
        <w:tc>
          <w:tcPr>
            <w:tcW w:w="1276" w:type="dxa"/>
            <w:vAlign w:val="bottom"/>
          </w:tcPr>
          <w:p w14:paraId="7014D0B9" w14:textId="77777777" w:rsidR="00F866BA" w:rsidRPr="004F5B81" w:rsidRDefault="00F866BA" w:rsidP="00D7625B">
            <w:pPr>
              <w:pStyle w:val="FSTableText"/>
              <w:keepNext/>
              <w:keepLines/>
              <w:jc w:val="right"/>
              <w:rPr>
                <w:b/>
                <w:lang w:bidi="ar-SA"/>
              </w:rPr>
            </w:pPr>
            <w:r w:rsidRPr="004F5B81">
              <w:rPr>
                <w:b/>
                <w:lang w:bidi="ar-SA"/>
              </w:rPr>
              <w:t>mg/day</w:t>
            </w:r>
          </w:p>
        </w:tc>
        <w:tc>
          <w:tcPr>
            <w:tcW w:w="1134" w:type="dxa"/>
            <w:vAlign w:val="bottom"/>
          </w:tcPr>
          <w:p w14:paraId="69983507" w14:textId="77777777" w:rsidR="00F866BA" w:rsidRPr="004F5B81" w:rsidRDefault="00F866BA" w:rsidP="00D7625B">
            <w:pPr>
              <w:pStyle w:val="FSTableText"/>
              <w:keepNext/>
              <w:keepLines/>
              <w:jc w:val="right"/>
              <w:rPr>
                <w:b/>
                <w:lang w:bidi="ar-SA"/>
              </w:rPr>
            </w:pPr>
            <w:r w:rsidRPr="004F5B81">
              <w:rPr>
                <w:b/>
                <w:lang w:bidi="ar-SA"/>
              </w:rPr>
              <w:t>mg/kg bw/day</w:t>
            </w:r>
          </w:p>
        </w:tc>
      </w:tr>
      <w:tr w:rsidR="00F866BA" w14:paraId="799E0B5F" w14:textId="77777777" w:rsidTr="00D7625B">
        <w:trPr>
          <w:trHeight w:val="300"/>
        </w:trPr>
        <w:tc>
          <w:tcPr>
            <w:tcW w:w="995" w:type="dxa"/>
          </w:tcPr>
          <w:p w14:paraId="542212ED" w14:textId="77777777" w:rsidR="00F866BA" w:rsidRDefault="00F866BA" w:rsidP="00D7625B">
            <w:pPr>
              <w:pStyle w:val="FSTableText"/>
              <w:keepNext/>
              <w:keepLines/>
              <w:rPr>
                <w:lang w:bidi="ar-SA"/>
              </w:rPr>
            </w:pPr>
            <w:r w:rsidRPr="00D84528">
              <w:rPr>
                <w:lang w:bidi="ar-SA"/>
              </w:rPr>
              <w:t>Australia</w:t>
            </w:r>
          </w:p>
        </w:tc>
        <w:tc>
          <w:tcPr>
            <w:tcW w:w="2119" w:type="dxa"/>
            <w:vAlign w:val="center"/>
          </w:tcPr>
          <w:p w14:paraId="3A3CE564" w14:textId="77777777" w:rsidR="00F866BA" w:rsidRPr="00D84528" w:rsidRDefault="00F866BA" w:rsidP="00D7625B">
            <w:pPr>
              <w:pStyle w:val="FSTableText"/>
              <w:keepNext/>
              <w:keepLines/>
              <w:rPr>
                <w:lang w:bidi="ar-SA"/>
              </w:rPr>
            </w:pPr>
            <w:r w:rsidRPr="00D84528">
              <w:rPr>
                <w:lang w:bidi="ar-SA"/>
              </w:rPr>
              <w:t>2 years and above</w:t>
            </w:r>
          </w:p>
        </w:tc>
        <w:tc>
          <w:tcPr>
            <w:tcW w:w="992" w:type="dxa"/>
            <w:vAlign w:val="center"/>
          </w:tcPr>
          <w:p w14:paraId="4D38F842" w14:textId="77777777" w:rsidR="00F866BA" w:rsidRPr="000256D8" w:rsidRDefault="00F866BA" w:rsidP="00D7625B">
            <w:pPr>
              <w:pStyle w:val="FSTableText"/>
              <w:keepNext/>
              <w:keepLines/>
              <w:jc w:val="right"/>
              <w:rPr>
                <w:lang w:bidi="ar-SA"/>
              </w:rPr>
            </w:pPr>
            <w:r w:rsidRPr="000256D8">
              <w:rPr>
                <w:lang w:bidi="ar-SA"/>
              </w:rPr>
              <w:t>18.3</w:t>
            </w:r>
          </w:p>
        </w:tc>
        <w:tc>
          <w:tcPr>
            <w:tcW w:w="1276" w:type="dxa"/>
            <w:vAlign w:val="center"/>
          </w:tcPr>
          <w:p w14:paraId="1D98C808" w14:textId="77777777" w:rsidR="00F866BA" w:rsidRPr="000256D8" w:rsidRDefault="00F866BA" w:rsidP="00D7625B">
            <w:pPr>
              <w:pStyle w:val="FSTableText"/>
              <w:keepNext/>
              <w:keepLines/>
              <w:jc w:val="right"/>
              <w:rPr>
                <w:lang w:bidi="ar-SA"/>
              </w:rPr>
            </w:pPr>
            <w:r w:rsidRPr="000256D8">
              <w:rPr>
                <w:lang w:bidi="ar-SA"/>
              </w:rPr>
              <w:t>0.30</w:t>
            </w:r>
          </w:p>
        </w:tc>
        <w:tc>
          <w:tcPr>
            <w:tcW w:w="1276" w:type="dxa"/>
            <w:vAlign w:val="center"/>
          </w:tcPr>
          <w:p w14:paraId="093E9C66" w14:textId="77777777" w:rsidR="00F866BA" w:rsidRPr="000256D8" w:rsidRDefault="00F866BA" w:rsidP="00D7625B">
            <w:pPr>
              <w:pStyle w:val="FSTableText"/>
              <w:keepNext/>
              <w:keepLines/>
              <w:jc w:val="right"/>
              <w:rPr>
                <w:lang w:bidi="ar-SA"/>
              </w:rPr>
            </w:pPr>
            <w:r w:rsidRPr="000256D8">
              <w:rPr>
                <w:lang w:bidi="ar-SA"/>
              </w:rPr>
              <w:t>33.8</w:t>
            </w:r>
          </w:p>
        </w:tc>
        <w:tc>
          <w:tcPr>
            <w:tcW w:w="1134" w:type="dxa"/>
            <w:vAlign w:val="center"/>
          </w:tcPr>
          <w:p w14:paraId="42029F17" w14:textId="77777777" w:rsidR="00F866BA" w:rsidRPr="000256D8" w:rsidRDefault="00F866BA" w:rsidP="00D7625B">
            <w:pPr>
              <w:pStyle w:val="FSTableText"/>
              <w:keepNext/>
              <w:keepLines/>
              <w:jc w:val="right"/>
              <w:rPr>
                <w:lang w:bidi="ar-SA"/>
              </w:rPr>
            </w:pPr>
            <w:r w:rsidRPr="000256D8">
              <w:rPr>
                <w:lang w:bidi="ar-SA"/>
              </w:rPr>
              <w:t>0.61</w:t>
            </w:r>
          </w:p>
        </w:tc>
      </w:tr>
      <w:tr w:rsidR="00F866BA" w14:paraId="09DEAA57" w14:textId="77777777" w:rsidTr="00D7625B">
        <w:trPr>
          <w:trHeight w:val="300"/>
        </w:trPr>
        <w:tc>
          <w:tcPr>
            <w:tcW w:w="995" w:type="dxa"/>
            <w:vMerge w:val="restart"/>
          </w:tcPr>
          <w:p w14:paraId="3F27296F" w14:textId="77777777" w:rsidR="00F866BA" w:rsidRDefault="00F866BA" w:rsidP="00D7625B">
            <w:pPr>
              <w:pStyle w:val="FSTableText"/>
              <w:keepNext/>
              <w:keepLines/>
              <w:rPr>
                <w:lang w:bidi="ar-SA"/>
              </w:rPr>
            </w:pPr>
            <w:r w:rsidRPr="00D84528">
              <w:rPr>
                <w:lang w:bidi="ar-SA"/>
              </w:rPr>
              <w:t>New Zealand</w:t>
            </w:r>
          </w:p>
        </w:tc>
        <w:tc>
          <w:tcPr>
            <w:tcW w:w="2119" w:type="dxa"/>
            <w:vAlign w:val="center"/>
          </w:tcPr>
          <w:p w14:paraId="5C6D4CC8" w14:textId="77777777" w:rsidR="00F866BA" w:rsidRPr="00D84528" w:rsidRDefault="00F866BA" w:rsidP="00D7625B">
            <w:pPr>
              <w:pStyle w:val="FSTableText"/>
              <w:keepNext/>
              <w:keepLines/>
              <w:rPr>
                <w:lang w:bidi="ar-SA"/>
              </w:rPr>
            </w:pPr>
            <w:r w:rsidRPr="00D84528">
              <w:rPr>
                <w:lang w:bidi="ar-SA"/>
              </w:rPr>
              <w:t>Children 5-14 years</w:t>
            </w:r>
          </w:p>
        </w:tc>
        <w:tc>
          <w:tcPr>
            <w:tcW w:w="992" w:type="dxa"/>
            <w:vAlign w:val="center"/>
          </w:tcPr>
          <w:p w14:paraId="68277D1B" w14:textId="77777777" w:rsidR="00F866BA" w:rsidRPr="000256D8" w:rsidRDefault="00F866BA" w:rsidP="00D7625B">
            <w:pPr>
              <w:pStyle w:val="FSTableText"/>
              <w:keepNext/>
              <w:keepLines/>
              <w:jc w:val="right"/>
              <w:rPr>
                <w:lang w:bidi="ar-SA"/>
              </w:rPr>
            </w:pPr>
            <w:r w:rsidRPr="000256D8">
              <w:rPr>
                <w:lang w:bidi="ar-SA"/>
              </w:rPr>
              <w:t>20.6</w:t>
            </w:r>
          </w:p>
        </w:tc>
        <w:tc>
          <w:tcPr>
            <w:tcW w:w="1276" w:type="dxa"/>
            <w:vAlign w:val="center"/>
          </w:tcPr>
          <w:p w14:paraId="4DF75697" w14:textId="77777777" w:rsidR="00F866BA" w:rsidRPr="000256D8" w:rsidRDefault="00F866BA" w:rsidP="00D7625B">
            <w:pPr>
              <w:pStyle w:val="FSTableText"/>
              <w:keepNext/>
              <w:keepLines/>
              <w:jc w:val="right"/>
              <w:rPr>
                <w:lang w:bidi="ar-SA"/>
              </w:rPr>
            </w:pPr>
            <w:r w:rsidRPr="000256D8">
              <w:rPr>
                <w:lang w:bidi="ar-SA"/>
              </w:rPr>
              <w:t>0.57</w:t>
            </w:r>
          </w:p>
        </w:tc>
        <w:tc>
          <w:tcPr>
            <w:tcW w:w="1276" w:type="dxa"/>
            <w:vAlign w:val="center"/>
          </w:tcPr>
          <w:p w14:paraId="24C1BA45" w14:textId="77777777" w:rsidR="00F866BA" w:rsidRPr="000256D8" w:rsidRDefault="00F866BA" w:rsidP="00D7625B">
            <w:pPr>
              <w:pStyle w:val="FSTableText"/>
              <w:keepNext/>
              <w:keepLines/>
              <w:jc w:val="right"/>
              <w:rPr>
                <w:lang w:bidi="ar-SA"/>
              </w:rPr>
            </w:pPr>
            <w:r w:rsidRPr="000256D8">
              <w:rPr>
                <w:lang w:bidi="ar-SA"/>
              </w:rPr>
              <w:t>35.3</w:t>
            </w:r>
          </w:p>
        </w:tc>
        <w:tc>
          <w:tcPr>
            <w:tcW w:w="1134" w:type="dxa"/>
            <w:vAlign w:val="center"/>
          </w:tcPr>
          <w:p w14:paraId="3713B39F" w14:textId="77777777" w:rsidR="00F866BA" w:rsidRPr="000256D8" w:rsidRDefault="00F866BA" w:rsidP="00D7625B">
            <w:pPr>
              <w:pStyle w:val="FSTableText"/>
              <w:keepNext/>
              <w:keepLines/>
              <w:jc w:val="right"/>
              <w:rPr>
                <w:lang w:bidi="ar-SA"/>
              </w:rPr>
            </w:pPr>
            <w:r w:rsidRPr="000256D8">
              <w:rPr>
                <w:lang w:bidi="ar-SA"/>
              </w:rPr>
              <w:t>1.04</w:t>
            </w:r>
          </w:p>
        </w:tc>
      </w:tr>
      <w:tr w:rsidR="00F866BA" w14:paraId="2E8CF993" w14:textId="77777777" w:rsidTr="00D7625B">
        <w:trPr>
          <w:trHeight w:val="300"/>
        </w:trPr>
        <w:tc>
          <w:tcPr>
            <w:tcW w:w="995" w:type="dxa"/>
            <w:vMerge/>
          </w:tcPr>
          <w:p w14:paraId="3E397B56" w14:textId="77777777" w:rsidR="00F866BA" w:rsidRDefault="00F866BA" w:rsidP="00D7625B">
            <w:pPr>
              <w:keepNext/>
              <w:keepLines/>
              <w:rPr>
                <w:lang w:bidi="ar-SA"/>
              </w:rPr>
            </w:pPr>
          </w:p>
        </w:tc>
        <w:tc>
          <w:tcPr>
            <w:tcW w:w="2119" w:type="dxa"/>
            <w:vAlign w:val="center"/>
          </w:tcPr>
          <w:p w14:paraId="3E3D60C4" w14:textId="77777777" w:rsidR="00F866BA" w:rsidRPr="00D84528" w:rsidRDefault="00F866BA" w:rsidP="00D7625B">
            <w:pPr>
              <w:pStyle w:val="FSTableText"/>
              <w:keepNext/>
              <w:keepLines/>
              <w:rPr>
                <w:lang w:bidi="ar-SA"/>
              </w:rPr>
            </w:pPr>
            <w:r w:rsidRPr="00D84528">
              <w:rPr>
                <w:lang w:bidi="ar-SA"/>
              </w:rPr>
              <w:t>15 years and above</w:t>
            </w:r>
          </w:p>
        </w:tc>
        <w:tc>
          <w:tcPr>
            <w:tcW w:w="992" w:type="dxa"/>
            <w:vAlign w:val="center"/>
          </w:tcPr>
          <w:p w14:paraId="53B626D4" w14:textId="77777777" w:rsidR="00F866BA" w:rsidRPr="000256D8" w:rsidRDefault="00F866BA" w:rsidP="00D7625B">
            <w:pPr>
              <w:pStyle w:val="FSTableText"/>
              <w:keepNext/>
              <w:keepLines/>
              <w:jc w:val="right"/>
              <w:rPr>
                <w:lang w:bidi="ar-SA"/>
              </w:rPr>
            </w:pPr>
            <w:r w:rsidRPr="000256D8">
              <w:rPr>
                <w:lang w:bidi="ar-SA"/>
              </w:rPr>
              <w:t>19.2</w:t>
            </w:r>
          </w:p>
        </w:tc>
        <w:tc>
          <w:tcPr>
            <w:tcW w:w="1276" w:type="dxa"/>
            <w:vAlign w:val="center"/>
          </w:tcPr>
          <w:p w14:paraId="0DFC74E0" w14:textId="77777777" w:rsidR="00F866BA" w:rsidRPr="000256D8" w:rsidRDefault="00F866BA" w:rsidP="00D7625B">
            <w:pPr>
              <w:pStyle w:val="FSTableText"/>
              <w:keepNext/>
              <w:keepLines/>
              <w:jc w:val="right"/>
              <w:rPr>
                <w:lang w:bidi="ar-SA"/>
              </w:rPr>
            </w:pPr>
            <w:r w:rsidRPr="000256D8">
              <w:rPr>
                <w:lang w:bidi="ar-SA"/>
              </w:rPr>
              <w:t>0.25</w:t>
            </w:r>
          </w:p>
        </w:tc>
        <w:tc>
          <w:tcPr>
            <w:tcW w:w="1276" w:type="dxa"/>
            <w:vAlign w:val="center"/>
          </w:tcPr>
          <w:p w14:paraId="291C7165" w14:textId="77777777" w:rsidR="00F866BA" w:rsidRPr="000256D8" w:rsidRDefault="00F866BA" w:rsidP="00D7625B">
            <w:pPr>
              <w:pStyle w:val="FSTableText"/>
              <w:keepNext/>
              <w:keepLines/>
              <w:jc w:val="right"/>
              <w:rPr>
                <w:lang w:bidi="ar-SA"/>
              </w:rPr>
            </w:pPr>
            <w:r w:rsidRPr="000256D8">
              <w:rPr>
                <w:lang w:bidi="ar-SA"/>
              </w:rPr>
              <w:t>37.7</w:t>
            </w:r>
          </w:p>
        </w:tc>
        <w:tc>
          <w:tcPr>
            <w:tcW w:w="1134" w:type="dxa"/>
            <w:vAlign w:val="center"/>
          </w:tcPr>
          <w:p w14:paraId="4336F620" w14:textId="77777777" w:rsidR="00F866BA" w:rsidRPr="000256D8" w:rsidRDefault="00F866BA" w:rsidP="00D7625B">
            <w:pPr>
              <w:pStyle w:val="FSTableText"/>
              <w:keepNext/>
              <w:keepLines/>
              <w:jc w:val="right"/>
              <w:rPr>
                <w:lang w:bidi="ar-SA"/>
              </w:rPr>
            </w:pPr>
            <w:r w:rsidRPr="000256D8">
              <w:rPr>
                <w:lang w:bidi="ar-SA"/>
              </w:rPr>
              <w:t>0.50</w:t>
            </w:r>
          </w:p>
        </w:tc>
      </w:tr>
    </w:tbl>
    <w:p w14:paraId="714F4EF8" w14:textId="77777777" w:rsidR="00F866BA" w:rsidRPr="00006534" w:rsidRDefault="00F866BA" w:rsidP="00F866BA">
      <w:pPr>
        <w:keepNext/>
        <w:keepLines/>
        <w:rPr>
          <w:sz w:val="18"/>
          <w:lang w:bidi="ar-SA"/>
        </w:rPr>
      </w:pPr>
      <w:r w:rsidRPr="00226D78">
        <w:rPr>
          <w:sz w:val="18"/>
          <w:lang w:bidi="ar-SA"/>
        </w:rPr>
        <w:t>* Based on 1</w:t>
      </w:r>
      <w:r>
        <w:rPr>
          <w:sz w:val="18"/>
          <w:lang w:bidi="ar-SA"/>
        </w:rPr>
        <w:t xml:space="preserve"> µmole</w:t>
      </w:r>
      <w:r w:rsidRPr="00226D78">
        <w:rPr>
          <w:sz w:val="18"/>
          <w:lang w:bidi="ar-SA"/>
        </w:rPr>
        <w:t>/g concentration of glucosinolates in rapeseed protein isolate according to the specifications</w:t>
      </w:r>
      <w:r w:rsidRPr="00D253A8">
        <w:rPr>
          <w:sz w:val="18"/>
          <w:lang w:bidi="ar-SA"/>
        </w:rPr>
        <w:t>.</w:t>
      </w:r>
      <w:r>
        <w:rPr>
          <w:rFonts w:ascii="Times New Roman" w:hAnsi="Times New Roman"/>
          <w:sz w:val="17"/>
          <w:szCs w:val="17"/>
          <w:lang w:eastAsia="en-GB" w:bidi="ar-SA"/>
        </w:rPr>
        <w:t xml:space="preserve"> </w:t>
      </w:r>
      <w:r w:rsidRPr="00006534">
        <w:rPr>
          <w:sz w:val="18"/>
          <w:lang w:bidi="ar-SA"/>
        </w:rPr>
        <w:t>Calculations for total glucosinolates based on molecular weight of 455</w:t>
      </w:r>
      <w:r>
        <w:rPr>
          <w:sz w:val="18"/>
          <w:lang w:bidi="ar-SA"/>
        </w:rPr>
        <w:t xml:space="preserve"> g/mol (VanEtten et</w:t>
      </w:r>
      <w:r w:rsidRPr="00006534">
        <w:rPr>
          <w:sz w:val="18"/>
          <w:lang w:bidi="ar-SA"/>
        </w:rPr>
        <w:t xml:space="preserve"> al. 1980).</w:t>
      </w:r>
    </w:p>
    <w:p w14:paraId="0A9586BE" w14:textId="77777777" w:rsidR="00F866BA" w:rsidRDefault="00F866BA" w:rsidP="00F866BA">
      <w:pPr>
        <w:autoSpaceDE w:val="0"/>
        <w:autoSpaceDN w:val="0"/>
        <w:adjustRightInd w:val="0"/>
      </w:pPr>
    </w:p>
    <w:p w14:paraId="255EEA3C" w14:textId="77777777" w:rsidR="00F866BA" w:rsidRDefault="00F866BA" w:rsidP="00F866BA">
      <w:r w:rsidRPr="00AC6E7F">
        <w:t xml:space="preserve">From the available evidence in the literature, glucosinolate intakes from </w:t>
      </w:r>
      <w:r w:rsidRPr="00DA0240">
        <w:rPr>
          <w:i/>
          <w:lang w:bidi="ar-SA"/>
        </w:rPr>
        <w:t>Brassica</w:t>
      </w:r>
      <w:r w:rsidRPr="00AC6E7F">
        <w:t xml:space="preserve"> vegetables are variable across the world. Agudo </w:t>
      </w:r>
      <w:r w:rsidRPr="00975123">
        <w:t>et al</w:t>
      </w:r>
      <w:r>
        <w:t>.</w:t>
      </w:r>
      <w:r w:rsidRPr="00AC6E7F">
        <w:t xml:space="preserve"> (2008) reported 6.53 mg/day as the mean </w:t>
      </w:r>
      <w:r>
        <w:t>exposure to</w:t>
      </w:r>
      <w:r w:rsidRPr="00AC6E7F">
        <w:t xml:space="preserve"> glucosinolates in the population aged 35–64 years of the EPIC-Spain cohort</w:t>
      </w:r>
      <w:r>
        <w:t xml:space="preserve"> (n=40,684)</w:t>
      </w:r>
      <w:r w:rsidRPr="00AC6E7F">
        <w:t xml:space="preserve">. The average daily </w:t>
      </w:r>
      <w:r>
        <w:t>exposure to</w:t>
      </w:r>
      <w:r w:rsidRPr="00AC6E7F">
        <w:t xml:space="preserve"> total glucosinolates in the UK </w:t>
      </w:r>
      <w:r>
        <w:t xml:space="preserve">from </w:t>
      </w:r>
      <w:r w:rsidRPr="00DA0240">
        <w:rPr>
          <w:i/>
          <w:lang w:bidi="ar-SA"/>
        </w:rPr>
        <w:t>Brassica</w:t>
      </w:r>
      <w:r>
        <w:t xml:space="preserve"> vegetables </w:t>
      </w:r>
      <w:r w:rsidRPr="00AC6E7F">
        <w:t>was estimated to be about 50</w:t>
      </w:r>
      <w:r>
        <w:t xml:space="preserve"> </w:t>
      </w:r>
      <w:r w:rsidRPr="00AC6E7F">
        <w:t xml:space="preserve">mg (Wattenberg </w:t>
      </w:r>
      <w:r w:rsidRPr="0071622F">
        <w:t>et al.</w:t>
      </w:r>
      <w:r w:rsidRPr="00AC6E7F">
        <w:t xml:space="preserve"> 1986), whereas in the Netherlands, the estimated </w:t>
      </w:r>
      <w:r>
        <w:t xml:space="preserve">mean exposure to </w:t>
      </w:r>
      <w:r w:rsidRPr="00AC6E7F">
        <w:t>glucosinolates</w:t>
      </w:r>
      <w:r>
        <w:t xml:space="preserve"> from </w:t>
      </w:r>
      <w:r w:rsidRPr="00DA0240">
        <w:rPr>
          <w:i/>
          <w:lang w:bidi="ar-SA"/>
        </w:rPr>
        <w:t>Brassica</w:t>
      </w:r>
      <w:r>
        <w:t xml:space="preserve"> vegetables</w:t>
      </w:r>
      <w:r w:rsidRPr="00AC6E7F">
        <w:t xml:space="preserve"> was 22</w:t>
      </w:r>
      <w:r>
        <w:t xml:space="preserve"> </w:t>
      </w:r>
      <w:r w:rsidRPr="00AC6E7F">
        <w:t xml:space="preserve">mg/day (Jongen, 1996; Kistenmaker </w:t>
      </w:r>
      <w:r w:rsidRPr="0071622F">
        <w:t>et al.</w:t>
      </w:r>
      <w:r w:rsidRPr="00AC6E7F">
        <w:t xml:space="preserve"> 1998). </w:t>
      </w:r>
      <w:r>
        <w:t xml:space="preserve">The exposure to glucosinolates from </w:t>
      </w:r>
      <w:r w:rsidRPr="00DA0240">
        <w:rPr>
          <w:i/>
          <w:lang w:bidi="ar-SA"/>
        </w:rPr>
        <w:t>Brassica</w:t>
      </w:r>
      <w:r>
        <w:t xml:space="preserve"> vegetables estimated for Australia and New Zealand (mean 15-52 mg/day) are within the range of international estimates.</w:t>
      </w:r>
    </w:p>
    <w:p w14:paraId="454CD703" w14:textId="77777777" w:rsidR="00F866BA" w:rsidRPr="00BF4D5D" w:rsidRDefault="00F866BA" w:rsidP="00F866BA"/>
    <w:p w14:paraId="2FE1786A" w14:textId="77777777" w:rsidR="00F866BA" w:rsidRPr="002E114E" w:rsidRDefault="00F866BA" w:rsidP="00F866BA">
      <w:r w:rsidRPr="00A20E13">
        <w:t xml:space="preserve">Australians aged </w:t>
      </w:r>
      <w:r>
        <w:t xml:space="preserve">2 years and above were exposed </w:t>
      </w:r>
      <w:r w:rsidRPr="000256D8">
        <w:t>to more glucosinolates</w:t>
      </w:r>
      <w:r>
        <w:t xml:space="preserve"> from rapeseed protein isolate than from the </w:t>
      </w:r>
      <w:r w:rsidRPr="00DA0240">
        <w:rPr>
          <w:i/>
          <w:lang w:bidi="ar-SA"/>
        </w:rPr>
        <w:t>Brassica</w:t>
      </w:r>
      <w:r>
        <w:t xml:space="preserve"> vegetables based on mean and 90</w:t>
      </w:r>
      <w:r w:rsidRPr="00872BE6">
        <w:rPr>
          <w:vertAlign w:val="superscript"/>
        </w:rPr>
        <w:t>th</w:t>
      </w:r>
      <w:r>
        <w:t xml:space="preserve"> percentile dietary exposures both in mg/day and on a body weight basis. However, for </w:t>
      </w:r>
      <w:r w:rsidRPr="00A20E13">
        <w:t xml:space="preserve">New Zealand children 5-14 years and adults 15 years </w:t>
      </w:r>
      <w:r>
        <w:t>and above, mean and 90</w:t>
      </w:r>
      <w:r w:rsidRPr="00872BE6">
        <w:rPr>
          <w:vertAlign w:val="superscript"/>
        </w:rPr>
        <w:t>th</w:t>
      </w:r>
      <w:r>
        <w:t xml:space="preserve"> percentile dietary exposures to glucosinolates from </w:t>
      </w:r>
      <w:r w:rsidRPr="000256D8">
        <w:rPr>
          <w:i/>
          <w:lang w:bidi="ar-SA"/>
        </w:rPr>
        <w:t>Brassica</w:t>
      </w:r>
      <w:r w:rsidRPr="000256D8">
        <w:t xml:space="preserve"> vegetables were higher than exposures</w:t>
      </w:r>
      <w:r>
        <w:t xml:space="preserve"> from rapeseed protein isolate both in mg/day and on a body weight basis.</w:t>
      </w:r>
    </w:p>
    <w:p w14:paraId="77D54AAE" w14:textId="77777777" w:rsidR="00F866BA" w:rsidRDefault="00F866BA" w:rsidP="00F866BA"/>
    <w:p w14:paraId="4C9EDCB0" w14:textId="7A0EF8FB" w:rsidR="00F866BA" w:rsidRPr="009524C2" w:rsidRDefault="00F866BA" w:rsidP="00F866BA">
      <w:r w:rsidRPr="009524C2">
        <w:t xml:space="preserve">From the dietary exposure assessment it was estimated that around 20 mg of glucosinolates would be consumed on average from the addition of rapeseed protein isolate to foods based on typical use levels. Dietary exposure results indicate that around 30 g of </w:t>
      </w:r>
      <w:r w:rsidRPr="00DA0240">
        <w:rPr>
          <w:i/>
          <w:lang w:bidi="ar-SA"/>
        </w:rPr>
        <w:t>Brassica</w:t>
      </w:r>
      <w:r>
        <w:rPr>
          <w:i/>
          <w:lang w:bidi="ar-SA"/>
        </w:rPr>
        <w:t>s</w:t>
      </w:r>
      <w:r w:rsidRPr="009524C2">
        <w:t xml:space="preserve"> would need to be consumed to give</w:t>
      </w:r>
      <w:r w:rsidRPr="009524C2" w:rsidDel="00256327">
        <w:t xml:space="preserve"> </w:t>
      </w:r>
      <w:r w:rsidRPr="009524C2">
        <w:t xml:space="preserve">20 mg of glucosinolates, if 1 kg of broccoli has 646 mg of glucosinolates (the concentration used in the dietary exposure assessment). This estimate of around 30 g/day of </w:t>
      </w:r>
      <w:r w:rsidRPr="00DA0240">
        <w:rPr>
          <w:i/>
          <w:lang w:bidi="ar-SA"/>
        </w:rPr>
        <w:t>Brassica</w:t>
      </w:r>
      <w:r w:rsidRPr="009524C2">
        <w:t xml:space="preserve"> would be equivalent to around </w:t>
      </w:r>
      <w:r>
        <w:t>1 large</w:t>
      </w:r>
      <w:r w:rsidRPr="009524C2">
        <w:t xml:space="preserve"> floret of broccoli or 1 medium floret of cauliflower per day (based on gram weights from 2011-13 AUSNUT Measure file (FSANZ, 2016)). This level of consumption would be well within normal daily intake, and not much additional to the diet. The 30 g is also less than the mean daily consumption amount estimated and reported in the Table A1.1 </w:t>
      </w:r>
      <w:r w:rsidRPr="009524C2" w:rsidDel="00062944">
        <w:t xml:space="preserve">of </w:t>
      </w:r>
      <w:r w:rsidR="00D03D79">
        <w:t>around 57-</w:t>
      </w:r>
      <w:r w:rsidRPr="009524C2">
        <w:t>80 g for any single day from the New Zealand national nutrition surveys</w:t>
      </w:r>
      <w:r w:rsidRPr="009524C2" w:rsidDel="00062944">
        <w:t xml:space="preserve"> </w:t>
      </w:r>
      <w:r w:rsidRPr="009524C2">
        <w:t>and similar to th</w:t>
      </w:r>
      <w:r>
        <w:t>e 33 g for day 1 for Australia.</w:t>
      </w:r>
    </w:p>
    <w:p w14:paraId="05851FF0" w14:textId="77777777" w:rsidR="00F866BA" w:rsidRPr="009524C2" w:rsidRDefault="00F866BA" w:rsidP="00F866BA"/>
    <w:p w14:paraId="5F26DF0D" w14:textId="77777777" w:rsidR="00F866BA" w:rsidRPr="00AC6E7F" w:rsidRDefault="00F866BA" w:rsidP="00F866BA">
      <w:r w:rsidRPr="009524C2">
        <w:t xml:space="preserve">The additional amount of equivalent </w:t>
      </w:r>
      <w:r w:rsidRPr="00DA0240">
        <w:rPr>
          <w:i/>
          <w:lang w:bidi="ar-SA"/>
        </w:rPr>
        <w:t>Brassica</w:t>
      </w:r>
      <w:r w:rsidRPr="009524C2">
        <w:t xml:space="preserve"> would be less than 30 g/day in reality. This is because the consumption amount is based on the estimates of glucosinolate exposure</w:t>
      </w:r>
      <w:r w:rsidRPr="00AC6E7F">
        <w:t xml:space="preserve"> from </w:t>
      </w:r>
      <w:r>
        <w:t xml:space="preserve">dietary exposure to </w:t>
      </w:r>
      <w:r w:rsidRPr="00AC6E7F">
        <w:t xml:space="preserve">rapeseed protein isolate </w:t>
      </w:r>
      <w:r>
        <w:t>which in itself</w:t>
      </w:r>
      <w:r w:rsidRPr="00AC6E7F">
        <w:t xml:space="preserve"> </w:t>
      </w:r>
      <w:r>
        <w:t>is a conservative estimate. The estimates of dietary exposure to rapeseed protein isolate are</w:t>
      </w:r>
      <w:r w:rsidRPr="00AC6E7F">
        <w:t xml:space="preserve"> based on the </w:t>
      </w:r>
      <w:r>
        <w:t>typical</w:t>
      </w:r>
      <w:r w:rsidRPr="00AC6E7F">
        <w:t xml:space="preserve"> concentrations of use for rapeseed protein isolate, assuming 100% of foods in all of the categories include it</w:t>
      </w:r>
      <w:r>
        <w:t>. It also assumes that consumers always chose the food that contains rapeseed protein isolate every time they eat it over a lifetime. Also</w:t>
      </w:r>
      <w:r w:rsidRPr="00AC6E7F">
        <w:t>,</w:t>
      </w:r>
      <w:r w:rsidRPr="00AC6E7F" w:rsidDel="00D14D4B">
        <w:t xml:space="preserve"> </w:t>
      </w:r>
      <w:r w:rsidRPr="00AC6E7F">
        <w:t>the glucosinolate</w:t>
      </w:r>
      <w:r>
        <w:t>s</w:t>
      </w:r>
      <w:r w:rsidRPr="00AC6E7F">
        <w:t xml:space="preserve"> content</w:t>
      </w:r>
      <w:r>
        <w:t xml:space="preserve"> of the rapeseed protein isolate</w:t>
      </w:r>
      <w:r w:rsidRPr="00AC6E7F">
        <w:t xml:space="preserve"> was </w:t>
      </w:r>
      <w:r>
        <w:t xml:space="preserve">assumed to be </w:t>
      </w:r>
      <w:r w:rsidRPr="00AC6E7F">
        <w:t xml:space="preserve">at the </w:t>
      </w:r>
      <w:r>
        <w:t>level</w:t>
      </w:r>
      <w:r w:rsidRPr="00AC6E7F">
        <w:t xml:space="preserve"> in the specification </w:t>
      </w:r>
      <w:r>
        <w:t>(1 </w:t>
      </w:r>
      <w:r>
        <w:rPr>
          <w:rFonts w:cs="Arial"/>
        </w:rPr>
        <w:t>µ</w:t>
      </w:r>
      <w:r>
        <w:t xml:space="preserve">mol/g) </w:t>
      </w:r>
      <w:r w:rsidRPr="00AC6E7F">
        <w:t>but analytical results from the rapeseed protein isolate show much lower levels</w:t>
      </w:r>
      <w:r>
        <w:t xml:space="preserve"> (</w:t>
      </w:r>
      <w:r w:rsidRPr="008F5216">
        <w:rPr>
          <w:lang w:bidi="ar-SA"/>
        </w:rPr>
        <w:t>&lt;</w:t>
      </w:r>
      <w:r>
        <w:rPr>
          <w:lang w:bidi="ar-SA"/>
        </w:rPr>
        <w:t> </w:t>
      </w:r>
      <w:r w:rsidRPr="008F5216">
        <w:rPr>
          <w:lang w:bidi="ar-SA"/>
        </w:rPr>
        <w:t>0.</w:t>
      </w:r>
      <w:r>
        <w:rPr>
          <w:lang w:bidi="ar-SA"/>
        </w:rPr>
        <w:t xml:space="preserve">1 </w:t>
      </w:r>
      <w:r>
        <w:rPr>
          <w:rFonts w:cs="Arial"/>
          <w:lang w:bidi="ar-SA"/>
        </w:rPr>
        <w:t>µ</w:t>
      </w:r>
      <w:r>
        <w:rPr>
          <w:lang w:bidi="ar-SA"/>
        </w:rPr>
        <w:t>mol/g)</w:t>
      </w:r>
      <w:r w:rsidRPr="00AC6E7F">
        <w:t>.</w:t>
      </w:r>
    </w:p>
    <w:p w14:paraId="7FA80912" w14:textId="77777777" w:rsidR="00F866BA" w:rsidRPr="00305E8C" w:rsidRDefault="00F866BA" w:rsidP="00305E8C">
      <w:pPr>
        <w:rPr>
          <w:lang w:bidi="ar-SA"/>
        </w:rPr>
      </w:pPr>
    </w:p>
    <w:p w14:paraId="71D08A51" w14:textId="11EA5E38" w:rsidR="00923C94" w:rsidRDefault="00923C94" w:rsidP="00E41BD5">
      <w:pPr>
        <w:pStyle w:val="Heading2"/>
      </w:pPr>
      <w:bookmarkStart w:id="1428" w:name="_Toc54169738"/>
      <w:bookmarkStart w:id="1429" w:name="_Toc56090027"/>
      <w:r>
        <w:t>6.4</w:t>
      </w:r>
      <w:r>
        <w:tab/>
        <w:t>Dietary exposure assessment conclusions</w:t>
      </w:r>
      <w:bookmarkEnd w:id="1428"/>
      <w:bookmarkEnd w:id="1429"/>
    </w:p>
    <w:p w14:paraId="1E8BCE34" w14:textId="77777777" w:rsidR="00923C94" w:rsidRDefault="00923C94" w:rsidP="00923C94">
      <w:pPr>
        <w:rPr>
          <w:lang w:bidi="ar-SA"/>
        </w:rPr>
      </w:pPr>
      <w:r>
        <w:rPr>
          <w:lang w:bidi="ar-SA"/>
        </w:rPr>
        <w:t>An assessment was undertaken to estimate</w:t>
      </w:r>
      <w:r w:rsidRPr="00F82D7E">
        <w:rPr>
          <w:lang w:bidi="ar-SA"/>
        </w:rPr>
        <w:t xml:space="preserve"> dietary exposure to rapeseed protein isolate based on the most recent consumption data from national nutrition surveys for Australians (2</w:t>
      </w:r>
      <w:r>
        <w:rPr>
          <w:lang w:bidi="ar-SA"/>
        </w:rPr>
        <w:t> </w:t>
      </w:r>
      <w:r w:rsidRPr="00F82D7E">
        <w:rPr>
          <w:lang w:bidi="ar-SA"/>
        </w:rPr>
        <w:t>years and above) and New Zealanders (children 5-14 years and adults 15 years and above) and information provided by the applicant on proposed foods and use levels</w:t>
      </w:r>
      <w:r>
        <w:rPr>
          <w:lang w:bidi="ar-SA"/>
        </w:rPr>
        <w:t>.</w:t>
      </w:r>
    </w:p>
    <w:p w14:paraId="084A8288" w14:textId="5EAFC9CD" w:rsidR="00923C94" w:rsidRDefault="00923C94" w:rsidP="00C975ED"/>
    <w:p w14:paraId="218766AA" w14:textId="20847196" w:rsidR="00923C94" w:rsidRDefault="00923C94" w:rsidP="00923C94">
      <w:pPr>
        <w:rPr>
          <w:lang w:bidi="ar-SA"/>
        </w:rPr>
      </w:pPr>
      <w:r>
        <w:rPr>
          <w:lang w:bidi="ar-SA"/>
        </w:rPr>
        <w:t xml:space="preserve">For erucic acid, estimated dietary exposures from rapeseed protein isolate based on typical use levels at the mean (0.03-0.06 mg/kg bw/day) and 90th percentile (0.05-0.11 mg/kg bw/day) were higher than the dietary exposures from </w:t>
      </w:r>
      <w:r w:rsidRPr="00DA0240">
        <w:rPr>
          <w:i/>
          <w:lang w:bidi="ar-SA"/>
        </w:rPr>
        <w:t>Brassica</w:t>
      </w:r>
      <w:r>
        <w:rPr>
          <w:lang w:bidi="ar-SA"/>
        </w:rPr>
        <w:t xml:space="preserve"> vegetables at both the mean (0.003-0.01 mg/kg bw/day) and 90th percentile (0.01-0.03 mg/kg bw/day) for all population groups assessed in Australia and New Zealand. </w:t>
      </w:r>
    </w:p>
    <w:p w14:paraId="627A3F21" w14:textId="77777777" w:rsidR="00923C94" w:rsidRDefault="00923C94" w:rsidP="00923C94">
      <w:pPr>
        <w:rPr>
          <w:lang w:bidi="ar-SA"/>
        </w:rPr>
      </w:pPr>
    </w:p>
    <w:p w14:paraId="18DD9764" w14:textId="0EB350DC" w:rsidR="00923C94" w:rsidRPr="00AC6E7F" w:rsidRDefault="00923C94" w:rsidP="00C975ED">
      <w:pPr>
        <w:rPr>
          <w:lang w:bidi="ar-SA"/>
        </w:rPr>
      </w:pPr>
      <w:r>
        <w:rPr>
          <w:lang w:bidi="ar-SA"/>
        </w:rPr>
        <w:t xml:space="preserve">Australians could be exposed to more glucosinolates from rapeseed protein isolate based on typical use levels (mean 0.30 mg/kg bw/day; 90th percentile 0.61 mg/kg b/day) than from </w:t>
      </w:r>
      <w:r w:rsidRPr="00DA0240">
        <w:rPr>
          <w:i/>
          <w:lang w:bidi="ar-SA"/>
        </w:rPr>
        <w:t>Brassica</w:t>
      </w:r>
      <w:r>
        <w:rPr>
          <w:lang w:bidi="ar-SA"/>
        </w:rPr>
        <w:t xml:space="preserve"> vegetables (mean 0.21 mg/kg bw/day; 90th percentile 0.56 mg/kg bw/day). However, New Zealand dietary exposures to glucosinolates from </w:t>
      </w:r>
      <w:r w:rsidRPr="00DA0240">
        <w:rPr>
          <w:i/>
          <w:lang w:bidi="ar-SA"/>
        </w:rPr>
        <w:t>Brassica</w:t>
      </w:r>
      <w:r>
        <w:rPr>
          <w:lang w:bidi="ar-SA"/>
        </w:rPr>
        <w:t xml:space="preserve"> vegetables (mean 0.66-0.92 mg/kg bw/day; 90th percentile 1.40-2.17 mg/kg bw/day) were higher than exposures from rapeseed protein isolate based on typical use levels (mean 0.25-0.57 mg/kg bw/day; 90th percentile 0.50-1.04 mg/kg bw/day). The additional exposure to glucosinolates from rapeseed protein isolate based on typical use levels of around 20 mg/day is equivalent to the consumption of around 30 g/day of </w:t>
      </w:r>
      <w:r w:rsidRPr="00DA0240">
        <w:rPr>
          <w:i/>
          <w:lang w:bidi="ar-SA"/>
        </w:rPr>
        <w:t>Brassica</w:t>
      </w:r>
      <w:r>
        <w:rPr>
          <w:lang w:bidi="ar-SA"/>
        </w:rPr>
        <w:t xml:space="preserve"> vegetables (one large broccoli floret or one medium cauliflower floret).</w:t>
      </w:r>
    </w:p>
    <w:p w14:paraId="3D69BF8F" w14:textId="07D0F476" w:rsidR="006E141E" w:rsidRDefault="00E922D8" w:rsidP="000E46A3">
      <w:pPr>
        <w:pStyle w:val="Heading1"/>
      </w:pPr>
      <w:bookmarkStart w:id="1430" w:name="_Toc38549511"/>
      <w:bookmarkStart w:id="1431" w:name="_Toc38634174"/>
      <w:bookmarkStart w:id="1432" w:name="_Toc39571053"/>
      <w:bookmarkStart w:id="1433" w:name="_Toc39579309"/>
      <w:bookmarkStart w:id="1434" w:name="_Toc39579372"/>
      <w:bookmarkStart w:id="1435" w:name="_Toc39587130"/>
      <w:bookmarkStart w:id="1436" w:name="_Toc39582522"/>
      <w:bookmarkStart w:id="1437" w:name="_Toc40264941"/>
      <w:bookmarkStart w:id="1438" w:name="_Toc40266417"/>
      <w:bookmarkStart w:id="1439" w:name="_Toc40279750"/>
      <w:bookmarkStart w:id="1440" w:name="_Toc40282052"/>
      <w:bookmarkStart w:id="1441" w:name="_Toc40282214"/>
      <w:bookmarkStart w:id="1442" w:name="_Toc40360544"/>
      <w:bookmarkStart w:id="1443" w:name="_Toc40353587"/>
      <w:bookmarkStart w:id="1444" w:name="_Toc40366934"/>
      <w:bookmarkStart w:id="1445" w:name="_Toc40368266"/>
      <w:bookmarkStart w:id="1446" w:name="_Toc40382872"/>
      <w:bookmarkStart w:id="1447" w:name="_Toc40431071"/>
      <w:bookmarkStart w:id="1448" w:name="_Toc40433009"/>
      <w:bookmarkStart w:id="1449" w:name="_Toc40447694"/>
      <w:bookmarkStart w:id="1450" w:name="_Toc40441223"/>
      <w:bookmarkStart w:id="1451" w:name="_Toc40448559"/>
      <w:bookmarkStart w:id="1452" w:name="_Toc40449987"/>
      <w:bookmarkStart w:id="1453" w:name="_Toc40968331"/>
      <w:bookmarkStart w:id="1454" w:name="_Toc41051053"/>
      <w:bookmarkStart w:id="1455" w:name="_Toc41046053"/>
      <w:bookmarkStart w:id="1456" w:name="_Toc41053511"/>
      <w:bookmarkStart w:id="1457" w:name="_Toc44592682"/>
      <w:bookmarkStart w:id="1458" w:name="_Toc44596195"/>
      <w:bookmarkStart w:id="1459" w:name="_Toc44604590"/>
      <w:bookmarkStart w:id="1460" w:name="_Toc54169739"/>
      <w:bookmarkStart w:id="1461" w:name="_Toc56090028"/>
      <w:r>
        <w:t>7</w:t>
      </w:r>
      <w:r w:rsidR="00A36783">
        <w:t>.</w:t>
      </w:r>
      <w:bookmarkEnd w:id="1430"/>
      <w:bookmarkEnd w:id="1431"/>
      <w:bookmarkEnd w:id="1432"/>
      <w:bookmarkEnd w:id="1433"/>
      <w:bookmarkEnd w:id="1434"/>
      <w:bookmarkEnd w:id="1435"/>
      <w:bookmarkEnd w:id="1436"/>
      <w:r w:rsidR="00B902E4">
        <w:tab/>
      </w:r>
      <w:r w:rsidR="00C975ED">
        <w:t>Risk assessment conclusions</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32DB2508" w14:textId="2109EDC9" w:rsidR="00140B2B" w:rsidRDefault="009440BD" w:rsidP="00C075F2">
      <w:pPr>
        <w:rPr>
          <w:lang w:bidi="ar-SA"/>
        </w:rPr>
      </w:pPr>
      <w:r>
        <w:rPr>
          <w:lang w:bidi="ar-SA"/>
        </w:rPr>
        <w:t>Food technology</w:t>
      </w:r>
      <w:r w:rsidR="00923C94">
        <w:rPr>
          <w:lang w:bidi="ar-SA"/>
        </w:rPr>
        <w:t xml:space="preserve">, microbiological, nutrition, </w:t>
      </w:r>
      <w:r>
        <w:rPr>
          <w:lang w:bidi="ar-SA"/>
        </w:rPr>
        <w:t>toxicology</w:t>
      </w:r>
      <w:r w:rsidR="00923C94">
        <w:rPr>
          <w:lang w:bidi="ar-SA"/>
        </w:rPr>
        <w:t xml:space="preserve"> and dietary exposure assessments were undertaken to evaluate any potential risks associated with the approval for the addition of rapeseed protein isolate as a novel food. In conclusion, </w:t>
      </w:r>
      <w:r w:rsidR="0005567F">
        <w:rPr>
          <w:lang w:bidi="ar-SA"/>
        </w:rPr>
        <w:t>the approval</w:t>
      </w:r>
      <w:r>
        <w:rPr>
          <w:lang w:bidi="ar-SA"/>
        </w:rPr>
        <w:t xml:space="preserve"> for</w:t>
      </w:r>
      <w:r w:rsidR="0005567F">
        <w:rPr>
          <w:lang w:bidi="ar-SA"/>
        </w:rPr>
        <w:t xml:space="preserve"> the use of</w:t>
      </w:r>
      <w:r w:rsidR="00923C94">
        <w:rPr>
          <w:lang w:bidi="ar-SA"/>
        </w:rPr>
        <w:t xml:space="preserve"> </w:t>
      </w:r>
      <w:r w:rsidR="00DB6449">
        <w:rPr>
          <w:lang w:bidi="ar-SA"/>
        </w:rPr>
        <w:t xml:space="preserve">rapeseed protein isolate </w:t>
      </w:r>
      <w:r w:rsidR="00923C94">
        <w:rPr>
          <w:lang w:bidi="ar-SA"/>
        </w:rPr>
        <w:t>in the food c</w:t>
      </w:r>
      <w:r w:rsidR="00853929">
        <w:rPr>
          <w:lang w:bidi="ar-SA"/>
        </w:rPr>
        <w:t>lasses</w:t>
      </w:r>
      <w:r w:rsidR="00923C94">
        <w:rPr>
          <w:lang w:bidi="ar-SA"/>
        </w:rPr>
        <w:t xml:space="preserve"> noted at the proposed typical use levels </w:t>
      </w:r>
      <w:r w:rsidR="0005567F">
        <w:rPr>
          <w:lang w:bidi="ar-SA"/>
        </w:rPr>
        <w:t>would</w:t>
      </w:r>
      <w:r w:rsidR="00923C94">
        <w:rPr>
          <w:lang w:bidi="ar-SA"/>
        </w:rPr>
        <w:t xml:space="preserve"> not represent a public health and safety concern for many of the areas assessed. </w:t>
      </w:r>
      <w:r w:rsidR="00922CC0">
        <w:rPr>
          <w:lang w:bidi="ar-SA"/>
        </w:rPr>
        <w:t xml:space="preserve">The </w:t>
      </w:r>
      <w:r w:rsidR="00923C94">
        <w:rPr>
          <w:lang w:bidi="ar-SA"/>
        </w:rPr>
        <w:t>aspects</w:t>
      </w:r>
      <w:r w:rsidR="00923C94" w:rsidDel="00922CC0">
        <w:rPr>
          <w:lang w:bidi="ar-SA"/>
        </w:rPr>
        <w:t xml:space="preserve"> </w:t>
      </w:r>
      <w:r w:rsidR="00923C94">
        <w:rPr>
          <w:lang w:bidi="ar-SA"/>
        </w:rPr>
        <w:t xml:space="preserve">identified </w:t>
      </w:r>
      <w:r w:rsidR="00324F69">
        <w:rPr>
          <w:lang w:bidi="ar-SA"/>
        </w:rPr>
        <w:t xml:space="preserve">at </w:t>
      </w:r>
      <w:r w:rsidR="00CC2611">
        <w:rPr>
          <w:lang w:bidi="ar-SA"/>
        </w:rPr>
        <w:t>the C</w:t>
      </w:r>
      <w:r w:rsidR="00324F69">
        <w:rPr>
          <w:lang w:bidi="ar-SA"/>
        </w:rPr>
        <w:t xml:space="preserve">all for </w:t>
      </w:r>
      <w:r w:rsidR="00CC2611">
        <w:rPr>
          <w:lang w:bidi="ar-SA"/>
        </w:rPr>
        <w:t>S</w:t>
      </w:r>
      <w:r w:rsidR="00324F69">
        <w:rPr>
          <w:lang w:bidi="ar-SA"/>
        </w:rPr>
        <w:t>ubmissions</w:t>
      </w:r>
      <w:r w:rsidR="00923C94">
        <w:rPr>
          <w:lang w:bidi="ar-SA"/>
        </w:rPr>
        <w:t xml:space="preserve"> as potential public health and safety concerns includ</w:t>
      </w:r>
      <w:r w:rsidR="00922CC0">
        <w:rPr>
          <w:lang w:bidi="ar-SA"/>
        </w:rPr>
        <w:t>e</w:t>
      </w:r>
      <w:r w:rsidR="00923C94">
        <w:rPr>
          <w:lang w:bidi="ar-SA"/>
        </w:rPr>
        <w:t xml:space="preserve"> the microbiological risk from </w:t>
      </w:r>
      <w:r w:rsidR="00923C94" w:rsidRPr="00B04989">
        <w:rPr>
          <w:i/>
          <w:lang w:bidi="ar-SA"/>
        </w:rPr>
        <w:t>Salmonella</w:t>
      </w:r>
      <w:r w:rsidR="00923C94">
        <w:rPr>
          <w:lang w:bidi="ar-SA"/>
        </w:rPr>
        <w:t xml:space="preserve"> spp.</w:t>
      </w:r>
      <w:r w:rsidR="00324F69">
        <w:rPr>
          <w:lang w:bidi="ar-SA"/>
        </w:rPr>
        <w:t xml:space="preserve"> (this has subsequently been addressed)</w:t>
      </w:r>
      <w:r w:rsidR="00923C94">
        <w:rPr>
          <w:lang w:bidi="ar-SA"/>
        </w:rPr>
        <w:t xml:space="preserve">, the potential allergic responses to individuals </w:t>
      </w:r>
      <w:r w:rsidR="00F86A28">
        <w:rPr>
          <w:lang w:bidi="ar-SA"/>
        </w:rPr>
        <w:t>who</w:t>
      </w:r>
      <w:r w:rsidR="00923C94">
        <w:rPr>
          <w:lang w:bidi="ar-SA"/>
        </w:rPr>
        <w:t xml:space="preserve"> are allergic to mustard, and the need to ensure levels of substances such as phytates and certain metal contaminants are retained as low as reasonably achievable.</w:t>
      </w:r>
    </w:p>
    <w:p w14:paraId="5095E1F2" w14:textId="3E7D6372" w:rsidR="00D727B2" w:rsidRDefault="00140B2B" w:rsidP="00140B2B">
      <w:pPr>
        <w:widowControl/>
        <w:rPr>
          <w:lang w:bidi="ar-SA"/>
        </w:rPr>
      </w:pPr>
      <w:r>
        <w:rPr>
          <w:lang w:bidi="ar-SA"/>
        </w:rPr>
        <w:br w:type="page"/>
      </w:r>
    </w:p>
    <w:p w14:paraId="76CB8651" w14:textId="5F385CDC" w:rsidR="0038753D" w:rsidRPr="00041241" w:rsidRDefault="00E922D8" w:rsidP="00041241">
      <w:pPr>
        <w:pStyle w:val="Heading1"/>
      </w:pPr>
      <w:bookmarkStart w:id="1462" w:name="_Toc38549515"/>
      <w:bookmarkStart w:id="1463" w:name="_Toc38634178"/>
      <w:bookmarkStart w:id="1464" w:name="_Toc39571057"/>
      <w:bookmarkStart w:id="1465" w:name="_Toc39579313"/>
      <w:bookmarkStart w:id="1466" w:name="_Toc39579376"/>
      <w:bookmarkStart w:id="1467" w:name="_Toc39587134"/>
      <w:bookmarkStart w:id="1468" w:name="_Toc39582526"/>
      <w:bookmarkStart w:id="1469" w:name="_Toc40264942"/>
      <w:bookmarkStart w:id="1470" w:name="_Toc40266418"/>
      <w:bookmarkStart w:id="1471" w:name="_Toc40279751"/>
      <w:bookmarkStart w:id="1472" w:name="_Toc40282053"/>
      <w:bookmarkStart w:id="1473" w:name="_Toc40282215"/>
      <w:bookmarkStart w:id="1474" w:name="_Toc40360545"/>
      <w:bookmarkStart w:id="1475" w:name="_Toc40353588"/>
      <w:bookmarkStart w:id="1476" w:name="_Toc40366935"/>
      <w:bookmarkStart w:id="1477" w:name="_Toc40368267"/>
      <w:bookmarkStart w:id="1478" w:name="_Toc40382873"/>
      <w:bookmarkStart w:id="1479" w:name="_Toc40431072"/>
      <w:bookmarkStart w:id="1480" w:name="_Toc40433010"/>
      <w:bookmarkStart w:id="1481" w:name="_Toc40447695"/>
      <w:bookmarkStart w:id="1482" w:name="_Toc40441224"/>
      <w:bookmarkStart w:id="1483" w:name="_Toc40448560"/>
      <w:bookmarkStart w:id="1484" w:name="_Toc40449988"/>
      <w:bookmarkStart w:id="1485" w:name="_Toc40968332"/>
      <w:bookmarkStart w:id="1486" w:name="_Toc41051054"/>
      <w:bookmarkStart w:id="1487" w:name="_Toc41046054"/>
      <w:bookmarkStart w:id="1488" w:name="_Toc41053512"/>
      <w:bookmarkStart w:id="1489" w:name="_Toc44592683"/>
      <w:bookmarkStart w:id="1490" w:name="_Toc44596196"/>
      <w:bookmarkStart w:id="1491" w:name="_Toc44604591"/>
      <w:bookmarkStart w:id="1492" w:name="_Toc54169740"/>
      <w:bookmarkStart w:id="1493" w:name="_Toc56090029"/>
      <w:r>
        <w:t>8</w:t>
      </w:r>
      <w:r w:rsidR="00A36783">
        <w:t>.</w:t>
      </w:r>
      <w:r w:rsidR="00B902E4">
        <w:tab/>
      </w:r>
      <w:r w:rsidR="00A36783">
        <w:t>References</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3FFC87E8" w14:textId="03631F24" w:rsidR="007D5802" w:rsidRPr="002F200C" w:rsidRDefault="007D5802" w:rsidP="005D16DC">
      <w:pPr>
        <w:widowControl/>
        <w:rPr>
          <w:rFonts w:eastAsia="Calibri" w:cs="Arial"/>
          <w:color w:val="2E3037"/>
          <w:szCs w:val="22"/>
          <w:lang w:val="en-AU" w:bidi="ar-SA"/>
        </w:rPr>
      </w:pPr>
      <w:r w:rsidRPr="002F200C">
        <w:rPr>
          <w:rFonts w:eastAsia="Calibri" w:cs="Arial"/>
          <w:color w:val="2E3037"/>
          <w:szCs w:val="22"/>
          <w:lang w:bidi="ar-SA"/>
        </w:rPr>
        <w:t xml:space="preserve">ABS (2014) </w:t>
      </w:r>
      <w:hyperlink r:id="rId20" w:history="1">
        <w:r w:rsidRPr="00B75459">
          <w:rPr>
            <w:rStyle w:val="Hyperlink"/>
            <w:rFonts w:eastAsia="Calibri" w:cs="Arial"/>
            <w:szCs w:val="22"/>
            <w:lang w:bidi="ar-SA"/>
          </w:rPr>
          <w:t>National Nutrition and Physical Activity Survey</w:t>
        </w:r>
      </w:hyperlink>
      <w:r w:rsidRPr="002F200C">
        <w:rPr>
          <w:rFonts w:eastAsia="Calibri" w:cs="Arial"/>
          <w:color w:val="2E3037"/>
          <w:szCs w:val="22"/>
          <w:lang w:bidi="ar-SA"/>
        </w:rPr>
        <w:t xml:space="preserve">, 2011–12, Basic CURF. Australian Government, Canberra. </w:t>
      </w:r>
      <w:r>
        <w:rPr>
          <w:rFonts w:eastAsia="Calibri" w:cs="Arial"/>
          <w:color w:val="2E3037"/>
          <w:szCs w:val="22"/>
          <w:lang w:bidi="ar-SA"/>
        </w:rPr>
        <w:t xml:space="preserve">Accessed 2 July 2108. </w:t>
      </w:r>
      <w:hyperlink r:id="rId21" w:history="1">
        <w:r w:rsidRPr="002F200C">
          <w:rPr>
            <w:rFonts w:eastAsia="Calibri" w:cs="Arial"/>
            <w:color w:val="0000FF"/>
            <w:szCs w:val="22"/>
            <w:u w:val="single"/>
            <w:lang w:bidi="ar-SA"/>
          </w:rPr>
          <w:t>http://www.abs.gov.au/AUSSTATS/abs@.nsf/Latestproducts/4324.0.55.002Main%20Features652011-12?opendocument&amp;tabname=Summary&amp;prodno=4324.0.55.002&amp;issue=2011-12&amp;num=&amp;view</w:t>
        </w:r>
      </w:hyperlink>
      <w:r w:rsidRPr="002F200C">
        <w:rPr>
          <w:rFonts w:eastAsia="Calibri" w:cs="Arial"/>
          <w:color w:val="2E3037"/>
          <w:szCs w:val="22"/>
          <w:lang w:bidi="ar-SA"/>
        </w:rPr>
        <w:t>=</w:t>
      </w:r>
    </w:p>
    <w:p w14:paraId="6B66EE41" w14:textId="77777777" w:rsidR="001625B9" w:rsidRDefault="001625B9" w:rsidP="004D6E44">
      <w:pPr>
        <w:rPr>
          <w:szCs w:val="22"/>
        </w:rPr>
      </w:pPr>
    </w:p>
    <w:p w14:paraId="5BDEB30B" w14:textId="1D584C1A" w:rsidR="004D6E44" w:rsidRDefault="004D6E44" w:rsidP="004D6E44">
      <w:pPr>
        <w:rPr>
          <w:szCs w:val="22"/>
        </w:rPr>
      </w:pPr>
      <w:r>
        <w:rPr>
          <w:szCs w:val="22"/>
        </w:rPr>
        <w:t>Aires</w:t>
      </w:r>
      <w:r w:rsidRPr="004D6E44">
        <w:rPr>
          <w:szCs w:val="22"/>
        </w:rPr>
        <w:t xml:space="preserve"> A</w:t>
      </w:r>
      <w:r>
        <w:rPr>
          <w:szCs w:val="22"/>
        </w:rPr>
        <w:t>, Rosa E, Carvalho R.</w:t>
      </w:r>
      <w:r w:rsidRPr="004D6E44">
        <w:rPr>
          <w:szCs w:val="22"/>
        </w:rPr>
        <w:t xml:space="preserve"> </w:t>
      </w:r>
      <w:r>
        <w:rPr>
          <w:szCs w:val="22"/>
        </w:rPr>
        <w:t xml:space="preserve">(2006). Effect of nitrogen and sulphur </w:t>
      </w:r>
      <w:r w:rsidRPr="004D6E44">
        <w:rPr>
          <w:szCs w:val="22"/>
        </w:rPr>
        <w:t>fertilization on glucosinol</w:t>
      </w:r>
      <w:r>
        <w:rPr>
          <w:szCs w:val="22"/>
        </w:rPr>
        <w:t xml:space="preserve">ates in the leaves and roots of </w:t>
      </w:r>
      <w:r w:rsidRPr="004D6E44">
        <w:rPr>
          <w:szCs w:val="22"/>
        </w:rPr>
        <w:t>broccoli sprouts (</w:t>
      </w:r>
      <w:r w:rsidRPr="002C5678">
        <w:rPr>
          <w:i/>
          <w:szCs w:val="22"/>
        </w:rPr>
        <w:t>Brassica oleracea</w:t>
      </w:r>
      <w:r>
        <w:rPr>
          <w:szCs w:val="22"/>
        </w:rPr>
        <w:t xml:space="preserve"> var. italica), J. Sci. Food </w:t>
      </w:r>
      <w:r w:rsidRPr="004D6E44">
        <w:rPr>
          <w:szCs w:val="22"/>
        </w:rPr>
        <w:t>Agric</w:t>
      </w:r>
      <w:r>
        <w:rPr>
          <w:szCs w:val="22"/>
        </w:rPr>
        <w:t>, 86:</w:t>
      </w:r>
      <w:r w:rsidRPr="004D6E44">
        <w:rPr>
          <w:szCs w:val="22"/>
        </w:rPr>
        <w:t>1512–1516.</w:t>
      </w:r>
    </w:p>
    <w:p w14:paraId="3BC4AA30" w14:textId="77777777" w:rsidR="0038753D" w:rsidRDefault="0038753D" w:rsidP="0082504B">
      <w:pPr>
        <w:rPr>
          <w:szCs w:val="22"/>
        </w:rPr>
      </w:pPr>
    </w:p>
    <w:p w14:paraId="25E572EB" w14:textId="6683B8AC" w:rsidR="00E33355" w:rsidRPr="00E045B7" w:rsidRDefault="0015360A" w:rsidP="0082504B">
      <w:pPr>
        <w:rPr>
          <w:szCs w:val="22"/>
        </w:rPr>
      </w:pPr>
      <w:r>
        <w:rPr>
          <w:szCs w:val="22"/>
        </w:rPr>
        <w:t xml:space="preserve">Agudo A, </w:t>
      </w:r>
      <w:r w:rsidR="00E33355" w:rsidRPr="00E045B7">
        <w:rPr>
          <w:szCs w:val="22"/>
        </w:rPr>
        <w:t>Ibanez R, Amiano P, et al.</w:t>
      </w:r>
      <w:r w:rsidR="00E045B7">
        <w:rPr>
          <w:szCs w:val="22"/>
        </w:rPr>
        <w:t xml:space="preserve"> (2008). </w:t>
      </w:r>
      <w:r w:rsidR="00E33355" w:rsidRPr="00E045B7">
        <w:rPr>
          <w:szCs w:val="22"/>
        </w:rPr>
        <w:t>Consumption of cruciferous vegetables and glucosinolates in a Spanish adult population</w:t>
      </w:r>
      <w:r w:rsidR="00DA0B9D">
        <w:rPr>
          <w:szCs w:val="22"/>
        </w:rPr>
        <w:t>. Eur J Clin Nutr, 62:</w:t>
      </w:r>
      <w:r w:rsidR="00E33355" w:rsidRPr="00E045B7">
        <w:rPr>
          <w:szCs w:val="22"/>
        </w:rPr>
        <w:t>324-331</w:t>
      </w:r>
      <w:r>
        <w:rPr>
          <w:szCs w:val="22"/>
        </w:rPr>
        <w:t>.</w:t>
      </w:r>
    </w:p>
    <w:p w14:paraId="2D2E6FF9" w14:textId="01EE0CB6" w:rsidR="00A36783" w:rsidRPr="000B7953" w:rsidRDefault="000031BB" w:rsidP="00A36783">
      <w:pPr>
        <w:rPr>
          <w:szCs w:val="22"/>
          <w:lang w:bidi="ar-SA"/>
        </w:rPr>
      </w:pPr>
      <w:r w:rsidRPr="000031BB">
        <w:rPr>
          <w:lang w:bidi="ar-SA"/>
        </w:rPr>
        <w:t xml:space="preserve">AOF (2015) Section 1: Quality standards, technical information and typical analysis 2015/19 Australian Oilseeds Federation Inc. </w:t>
      </w:r>
      <w:hyperlink r:id="rId22" w:history="1">
        <w:r w:rsidRPr="00056044">
          <w:rPr>
            <w:rStyle w:val="Hyperlink"/>
            <w:lang w:bidi="ar-SA"/>
          </w:rPr>
          <w:t>https://www.graintrade.org.au/sites/default/files/file/Commodity%20Standards/2015_2016/201516%20AOF%20Standards%20V14%20-%20August%201%202015.pdf</w:t>
        </w:r>
      </w:hyperlink>
      <w:r>
        <w:rPr>
          <w:lang w:bidi="ar-SA"/>
        </w:rPr>
        <w:t xml:space="preserve"> </w:t>
      </w:r>
      <w:r w:rsidR="001B4114">
        <w:rPr>
          <w:lang w:bidi="ar-SA"/>
        </w:rPr>
        <w:t>Accessed February 2020</w:t>
      </w:r>
      <w:r w:rsidR="0015360A">
        <w:rPr>
          <w:lang w:bidi="ar-SA"/>
        </w:rPr>
        <w:t>.</w:t>
      </w:r>
    </w:p>
    <w:p w14:paraId="64F2E91A" w14:textId="5B60AA54" w:rsidR="00ED2F9C" w:rsidRPr="000B7953" w:rsidRDefault="00ED2F9C" w:rsidP="00A36783">
      <w:pPr>
        <w:rPr>
          <w:szCs w:val="22"/>
          <w:lang w:bidi="ar-SA"/>
        </w:rPr>
      </w:pPr>
    </w:p>
    <w:p w14:paraId="26734B28" w14:textId="3BCC3779" w:rsidR="000B7953" w:rsidRDefault="000B7953" w:rsidP="00A36783">
      <w:pPr>
        <w:rPr>
          <w:color w:val="000000" w:themeColor="text1"/>
        </w:rPr>
      </w:pPr>
      <w:r w:rsidRPr="000B7953">
        <w:rPr>
          <w:szCs w:val="22"/>
        </w:rPr>
        <w:t>Beck KL, Conlon CA, Kruger R and Coad J (2014). Dietary determinants of and possible solutions to iron deficiency for young women living in industrialized countries: a review. Nutrients</w:t>
      </w:r>
      <w:r w:rsidRPr="000B7953">
        <w:t xml:space="preserve"> </w:t>
      </w:r>
      <w:r>
        <w:rPr>
          <w:color w:val="000000" w:themeColor="text1"/>
        </w:rPr>
        <w:t>6:3747-76.</w:t>
      </w:r>
    </w:p>
    <w:p w14:paraId="3D3D9A11" w14:textId="66AC6D84" w:rsidR="000B7953" w:rsidRDefault="000B7953" w:rsidP="00A36783">
      <w:pPr>
        <w:rPr>
          <w:lang w:bidi="ar-SA"/>
        </w:rPr>
      </w:pPr>
    </w:p>
    <w:p w14:paraId="6F8A42EE" w14:textId="49610016" w:rsidR="002E6F6D" w:rsidRDefault="002E6F6D" w:rsidP="00A36783">
      <w:r>
        <w:t xml:space="preserve">Campbell, L., Rempel, C. B., &amp; Wanasundara, J. P. (2016). Canola/Rapeseed Protein: Future Opportunities and Directions-Workshop Proceedings of IRC 2015. </w:t>
      </w:r>
      <w:r>
        <w:rPr>
          <w:i/>
          <w:iCs/>
        </w:rPr>
        <w:t>Plants (Basel, Switzerland)</w:t>
      </w:r>
      <w:r>
        <w:t xml:space="preserve">, </w:t>
      </w:r>
      <w:r>
        <w:rPr>
          <w:i/>
          <w:iCs/>
        </w:rPr>
        <w:t>5</w:t>
      </w:r>
      <w:r>
        <w:t xml:space="preserve">(2), 17. </w:t>
      </w:r>
      <w:hyperlink r:id="rId23" w:history="1">
        <w:r w:rsidRPr="000322E4">
          <w:rPr>
            <w:rStyle w:val="Hyperlink"/>
          </w:rPr>
          <w:t>https://doi.org/10.3390/plants5020017</w:t>
        </w:r>
      </w:hyperlink>
    </w:p>
    <w:p w14:paraId="5781D434" w14:textId="77777777" w:rsidR="002E6F6D" w:rsidRDefault="002E6F6D" w:rsidP="00A36783"/>
    <w:p w14:paraId="7B3C0A8E" w14:textId="4CE710F1" w:rsidR="00EF52BC" w:rsidRDefault="00EF52BC" w:rsidP="00A36783">
      <w:pPr>
        <w:rPr>
          <w:rFonts w:cs="Arial"/>
        </w:rPr>
      </w:pPr>
      <w:r>
        <w:rPr>
          <w:rFonts w:cs="Arial"/>
        </w:rPr>
        <w:t>Carpenter CE and Mahoney AW (1992). Contributions of heme and nonheme iron to human nutrition. Crit Rev Food Sci Nutr 31(4):333-67</w:t>
      </w:r>
      <w:r w:rsidR="0015360A">
        <w:rPr>
          <w:rFonts w:cs="Arial"/>
        </w:rPr>
        <w:t>.</w:t>
      </w:r>
    </w:p>
    <w:p w14:paraId="48292F2C" w14:textId="77777777" w:rsidR="00EF52BC" w:rsidRDefault="00EF52BC" w:rsidP="00A36783">
      <w:pPr>
        <w:rPr>
          <w:lang w:bidi="ar-SA"/>
        </w:rPr>
      </w:pPr>
    </w:p>
    <w:p w14:paraId="42AB6F08" w14:textId="4808206C" w:rsidR="004B1F8F" w:rsidRDefault="004B1F8F" w:rsidP="00B41E94">
      <w:pPr>
        <w:autoSpaceDE w:val="0"/>
        <w:autoSpaceDN w:val="0"/>
        <w:adjustRightInd w:val="0"/>
      </w:pPr>
      <w:r>
        <w:t>Cakaloglu, B., Ozyurt, V.H. &amp; Otles, E. (2018). Cold press in oil extraction. A review. Ukranian Food Journal. 7(4), 640-654.</w:t>
      </w:r>
    </w:p>
    <w:p w14:paraId="22363A74" w14:textId="77777777" w:rsidR="004B1F8F" w:rsidRDefault="004B1F8F" w:rsidP="00B41E94">
      <w:pPr>
        <w:autoSpaceDE w:val="0"/>
        <w:autoSpaceDN w:val="0"/>
        <w:adjustRightInd w:val="0"/>
      </w:pPr>
    </w:p>
    <w:p w14:paraId="23158638" w14:textId="38835A91" w:rsidR="00B41E94" w:rsidRPr="00B41E94" w:rsidRDefault="00B41E94" w:rsidP="00B41E94">
      <w:pPr>
        <w:autoSpaceDE w:val="0"/>
        <w:autoSpaceDN w:val="0"/>
        <w:adjustRightInd w:val="0"/>
      </w:pPr>
      <w:r w:rsidRPr="00B41E94">
        <w:t>Center for Food Safety and Applied Nutrition (CFSAN) / United States Food and Drug Administration (FDA). (2011). Office of Food Additive Safety 2010 GRN 00327</w:t>
      </w:r>
      <w:r w:rsidR="00B824F8">
        <w:t>.</w:t>
      </w:r>
    </w:p>
    <w:p w14:paraId="0F5697BE" w14:textId="77777777" w:rsidR="00B41E94" w:rsidRDefault="00B41E94" w:rsidP="004D6E44">
      <w:pPr>
        <w:rPr>
          <w:rFonts w:cs="Arial"/>
        </w:rPr>
      </w:pPr>
    </w:p>
    <w:p w14:paraId="39D13C2D" w14:textId="12D51317" w:rsidR="0038753D" w:rsidRPr="004D6E44" w:rsidRDefault="004D6E44" w:rsidP="004D6E44">
      <w:pPr>
        <w:rPr>
          <w:rFonts w:cs="Arial"/>
        </w:rPr>
      </w:pPr>
      <w:r w:rsidRPr="004D6E44">
        <w:rPr>
          <w:rFonts w:cs="Arial"/>
        </w:rPr>
        <w:t>Charron</w:t>
      </w:r>
      <w:r w:rsidR="00486B9A">
        <w:rPr>
          <w:rFonts w:cs="Arial"/>
        </w:rPr>
        <w:t xml:space="preserve"> </w:t>
      </w:r>
      <w:r w:rsidRPr="004D6E44">
        <w:rPr>
          <w:rFonts w:cs="Arial"/>
        </w:rPr>
        <w:t>CS</w:t>
      </w:r>
      <w:r w:rsidR="00486B9A">
        <w:rPr>
          <w:rFonts w:cs="Arial"/>
        </w:rPr>
        <w:t>, Saxton AM, Sams C</w:t>
      </w:r>
      <w:r w:rsidR="00B824F8">
        <w:rPr>
          <w:rFonts w:cs="Arial"/>
        </w:rPr>
        <w:t>E</w:t>
      </w:r>
      <w:r w:rsidRPr="004D6E44">
        <w:rPr>
          <w:rFonts w:cs="Arial"/>
        </w:rPr>
        <w:t xml:space="preserve"> (2005). Relationship of</w:t>
      </w:r>
      <w:r w:rsidR="00486B9A">
        <w:rPr>
          <w:rFonts w:cs="Arial"/>
        </w:rPr>
        <w:t xml:space="preserve"> </w:t>
      </w:r>
      <w:r w:rsidRPr="004D6E44">
        <w:rPr>
          <w:rFonts w:cs="Arial"/>
        </w:rPr>
        <w:t xml:space="preserve">climate and genotype to seasonal variation in the glucosinolates –myrosinase system. I. Glucosinolate content in ten cultivars of </w:t>
      </w:r>
      <w:r w:rsidRPr="00D15586">
        <w:rPr>
          <w:rFonts w:cs="Arial"/>
          <w:i/>
        </w:rPr>
        <w:t>Brassica</w:t>
      </w:r>
      <w:r w:rsidRPr="004D6E44">
        <w:rPr>
          <w:rFonts w:cs="Arial"/>
        </w:rPr>
        <w:t xml:space="preserve"> oleracea g</w:t>
      </w:r>
      <w:r w:rsidR="00486B9A">
        <w:rPr>
          <w:rFonts w:cs="Arial"/>
        </w:rPr>
        <w:t>rown in fall and spring seasons.</w:t>
      </w:r>
      <w:r w:rsidRPr="004D6E44">
        <w:rPr>
          <w:rFonts w:cs="Arial"/>
        </w:rPr>
        <w:t xml:space="preserve"> J. Sci. Food Agric. 85, 671–681.</w:t>
      </w:r>
    </w:p>
    <w:p w14:paraId="3E6ACCE6" w14:textId="77777777" w:rsidR="0038753D" w:rsidRDefault="0038753D" w:rsidP="0036057F">
      <w:pPr>
        <w:rPr>
          <w:color w:val="000000" w:themeColor="text1"/>
        </w:rPr>
      </w:pPr>
    </w:p>
    <w:p w14:paraId="4F34D921" w14:textId="4DE82477" w:rsidR="0038753D" w:rsidRPr="00486B9A" w:rsidRDefault="00486B9A" w:rsidP="004D6E44">
      <w:pPr>
        <w:rPr>
          <w:color w:val="000000" w:themeColor="text1"/>
        </w:rPr>
      </w:pPr>
      <w:r>
        <w:rPr>
          <w:color w:val="000000" w:themeColor="text1"/>
        </w:rPr>
        <w:t xml:space="preserve">Ciska E, Martyniak-Przybyszewska B, Kozlowska </w:t>
      </w:r>
      <w:r w:rsidR="00B824F8">
        <w:rPr>
          <w:color w:val="000000" w:themeColor="text1"/>
        </w:rPr>
        <w:t>H</w:t>
      </w:r>
      <w:r w:rsidR="004D6E44" w:rsidRPr="00486B9A">
        <w:rPr>
          <w:color w:val="000000" w:themeColor="text1"/>
        </w:rPr>
        <w:t xml:space="preserve"> (2000). Content of glucosinolates in cruciferous vegetables grown at the same site for two years under different climatic conditions. J. Agric. Food Chem., 48, 2862 –2867.</w:t>
      </w:r>
    </w:p>
    <w:p w14:paraId="494B9780" w14:textId="3A41DDB5" w:rsidR="00975123" w:rsidRDefault="00975123" w:rsidP="00975123"/>
    <w:p w14:paraId="24495D2D" w14:textId="77777777" w:rsidR="005501FD" w:rsidRDefault="005501FD" w:rsidP="005501FD">
      <w:r>
        <w:t xml:space="preserve">Codex Alimentarius Commission (1999). </w:t>
      </w:r>
      <w:hyperlink r:id="rId24" w:history="1">
        <w:r w:rsidRPr="004E72EE">
          <w:rPr>
            <w:rStyle w:val="Hyperlink"/>
          </w:rPr>
          <w:t>Standard for Named Vegetable Oils CXC 210 – 1999.</w:t>
        </w:r>
      </w:hyperlink>
      <w:r>
        <w:t xml:space="preserve"> Accessed 23 April 20.</w:t>
      </w:r>
    </w:p>
    <w:p w14:paraId="4261E796" w14:textId="77777777" w:rsidR="0038753D" w:rsidRPr="00E973EE" w:rsidRDefault="0038753D" w:rsidP="003D2E4C"/>
    <w:p w14:paraId="1493E3F3" w14:textId="668AF5BC" w:rsidR="007247A0" w:rsidRPr="007247A0" w:rsidRDefault="007247A0" w:rsidP="007247A0">
      <w:r w:rsidRPr="007247A0">
        <w:t>Codex Alimentarius Commission (2003). General Principles of Food Hygiene CXC 1-1969. Adopted 1969. Revised 2003.</w:t>
      </w:r>
    </w:p>
    <w:p w14:paraId="089C9C53" w14:textId="77777777" w:rsidR="007247A0" w:rsidRPr="007247A0" w:rsidRDefault="007247A0" w:rsidP="007247A0"/>
    <w:p w14:paraId="4C702E94" w14:textId="6C68A133" w:rsidR="007247A0" w:rsidRPr="00B90B6A" w:rsidRDefault="007247A0" w:rsidP="007247A0">
      <w:pPr>
        <w:rPr>
          <w:lang w:bidi="ar-SA"/>
        </w:rPr>
      </w:pPr>
      <w:r w:rsidRPr="00FA1AE5">
        <w:t xml:space="preserve">Codex Alimentarius Commission (2018). </w:t>
      </w:r>
      <w:hyperlink r:id="rId25" w:history="1">
        <w:r w:rsidRPr="00FA1AE5">
          <w:rPr>
            <w:rStyle w:val="Hyperlink"/>
          </w:rPr>
          <w:t>Code of Hygienic Practice for Low-Moisture Foods CXC 75-2015</w:t>
        </w:r>
      </w:hyperlink>
      <w:r w:rsidRPr="00FA1AE5">
        <w:t xml:space="preserve">. Accessed 22 April 20. </w:t>
      </w:r>
    </w:p>
    <w:p w14:paraId="78C0BD81" w14:textId="0D8A9CF0" w:rsidR="008D7059" w:rsidRDefault="008D7059" w:rsidP="003D2E4C"/>
    <w:p w14:paraId="74D10D91" w14:textId="118CE77C" w:rsidR="00C85984" w:rsidRDefault="00C85984" w:rsidP="00C85984">
      <w:r>
        <w:t>Codex Alimentarius Commission (2019)</w:t>
      </w:r>
      <w:r w:rsidR="00CE6196">
        <w:t>.</w:t>
      </w:r>
      <w:r>
        <w:t xml:space="preserve"> General Standard for Vegetable Protein Products (VPP) CXS 174-1989. </w:t>
      </w:r>
      <w:r w:rsidRPr="001B532D">
        <w:t>Adopted in 1989. Amended in 2019.</w:t>
      </w:r>
    </w:p>
    <w:p w14:paraId="0D240D42" w14:textId="6893E565" w:rsidR="009E08F2" w:rsidRDefault="009E08F2" w:rsidP="00C85984"/>
    <w:p w14:paraId="4DD17226" w14:textId="77777777" w:rsidR="009E08F2" w:rsidRDefault="009E08F2" w:rsidP="009E08F2">
      <w:r w:rsidRPr="00486E56">
        <w:t>Commission of</w:t>
      </w:r>
      <w:r>
        <w:t xml:space="preserve"> the European Communities (CEC)</w:t>
      </w:r>
      <w:r w:rsidRPr="00486E56">
        <w:t xml:space="preserve"> (2007). Commission directive 2007/68/ec. Official Journal of the European Union. 28.11.2007. L 310/14. Website: http:/ eur-lex.europa.eu/LexUriServ/LexUriServ.do?uri=OJ:L:2007:31 0:0011:0014:EN:PDF</w:t>
      </w:r>
      <w:r>
        <w:t xml:space="preserve"> Accessed 19 May 2020.</w:t>
      </w:r>
    </w:p>
    <w:p w14:paraId="23F298E2" w14:textId="0388EB74" w:rsidR="00B41E94" w:rsidRPr="00B41E94" w:rsidRDefault="00B41E94" w:rsidP="00C85984"/>
    <w:p w14:paraId="5768E9D2" w14:textId="102DF9EC" w:rsidR="0005626E" w:rsidRDefault="00AB2A35" w:rsidP="0005626E">
      <w:pPr>
        <w:rPr>
          <w:rFonts w:cs="Arial"/>
          <w:szCs w:val="22"/>
        </w:rPr>
      </w:pPr>
      <w:r>
        <w:t>D</w:t>
      </w:r>
      <w:r w:rsidR="0005626E">
        <w:t>e</w:t>
      </w:r>
      <w:r>
        <w:t xml:space="preserve"> </w:t>
      </w:r>
      <w:r w:rsidR="0005626E">
        <w:t>Boland AR, Garner GB and O’Dell BL (1975).</w:t>
      </w:r>
      <w:r w:rsidR="0005626E" w:rsidRPr="0005626E">
        <w:rPr>
          <w:rFonts w:cs="Arial"/>
          <w:szCs w:val="22"/>
        </w:rPr>
        <w:t xml:space="preserve"> Identification</w:t>
      </w:r>
      <w:r w:rsidR="0005626E">
        <w:rPr>
          <w:rFonts w:cs="Arial"/>
          <w:szCs w:val="22"/>
        </w:rPr>
        <w:t xml:space="preserve"> </w:t>
      </w:r>
      <w:r w:rsidR="0005626E" w:rsidRPr="0005626E">
        <w:rPr>
          <w:rFonts w:cs="Arial"/>
          <w:szCs w:val="22"/>
        </w:rPr>
        <w:t>and properties of ‘p</w:t>
      </w:r>
      <w:r w:rsidR="0005626E">
        <w:rPr>
          <w:rFonts w:cs="Arial"/>
          <w:szCs w:val="22"/>
        </w:rPr>
        <w:t>hytate’ in cereal grains and oil</w:t>
      </w:r>
      <w:r w:rsidR="0005626E" w:rsidRPr="0005626E">
        <w:rPr>
          <w:rFonts w:cs="Arial"/>
          <w:szCs w:val="22"/>
        </w:rPr>
        <w:t>seed products.</w:t>
      </w:r>
      <w:r w:rsidR="0005626E">
        <w:rPr>
          <w:rFonts w:cs="Arial"/>
          <w:szCs w:val="22"/>
        </w:rPr>
        <w:t xml:space="preserve"> J Ag</w:t>
      </w:r>
      <w:r w:rsidR="00BF6F72">
        <w:rPr>
          <w:rFonts w:cs="Arial"/>
          <w:szCs w:val="22"/>
        </w:rPr>
        <w:t>ric</w:t>
      </w:r>
      <w:r w:rsidR="0005626E">
        <w:rPr>
          <w:rFonts w:cs="Arial"/>
          <w:szCs w:val="22"/>
        </w:rPr>
        <w:t xml:space="preserve"> F</w:t>
      </w:r>
      <w:r w:rsidR="00BF6F72">
        <w:rPr>
          <w:rFonts w:cs="Arial"/>
          <w:szCs w:val="22"/>
        </w:rPr>
        <w:t>oo</w:t>
      </w:r>
      <w:r w:rsidR="0005626E">
        <w:rPr>
          <w:rFonts w:cs="Arial"/>
          <w:szCs w:val="22"/>
        </w:rPr>
        <w:t>d Chem 23:</w:t>
      </w:r>
      <w:r w:rsidR="0005626E" w:rsidRPr="0005626E">
        <w:rPr>
          <w:rFonts w:cs="Arial"/>
          <w:szCs w:val="22"/>
        </w:rPr>
        <w:t>1188.</w:t>
      </w:r>
    </w:p>
    <w:p w14:paraId="42C7E346" w14:textId="55FC5BCA" w:rsidR="00EF29D1" w:rsidRDefault="00EF29D1" w:rsidP="0005626E">
      <w:pPr>
        <w:rPr>
          <w:rFonts w:cs="Arial"/>
          <w:szCs w:val="22"/>
        </w:rPr>
      </w:pPr>
    </w:p>
    <w:p w14:paraId="4D5A43CD" w14:textId="1C86C0C7" w:rsidR="00EF29D1" w:rsidRDefault="00EF29D1" w:rsidP="0005626E">
      <w:pPr>
        <w:rPr>
          <w:rFonts w:cs="Arial"/>
          <w:szCs w:val="22"/>
        </w:rPr>
      </w:pPr>
      <w:r>
        <w:rPr>
          <w:rFonts w:cs="Arial"/>
          <w:szCs w:val="22"/>
        </w:rPr>
        <w:t>Dinkova-Kostova AT and Kostov RV (2012). Glucosinolates and isothiocyanates in health and disease. Trends in Molecular Medicine 18(6): 337-347</w:t>
      </w:r>
      <w:r w:rsidR="00504013">
        <w:rPr>
          <w:rFonts w:cs="Arial"/>
          <w:szCs w:val="22"/>
        </w:rPr>
        <w:t>.</w:t>
      </w:r>
    </w:p>
    <w:p w14:paraId="53123AB4" w14:textId="77777777" w:rsidR="0005626E" w:rsidRPr="0005626E" w:rsidRDefault="0005626E" w:rsidP="00A36783">
      <w:pPr>
        <w:rPr>
          <w:rFonts w:cs="Arial"/>
          <w:szCs w:val="22"/>
        </w:rPr>
      </w:pPr>
    </w:p>
    <w:p w14:paraId="20020E5F" w14:textId="1FB3E2D8" w:rsidR="003B7235" w:rsidRDefault="003B7235" w:rsidP="009468C8">
      <w:pPr>
        <w:keepNext/>
        <w:keepLines/>
      </w:pPr>
      <w:r>
        <w:t>Doell BH, Ebden CJ and Smith CA (1981). Trypsin inhibitor activity of conventional foods which are part of the British diet and some soya products. Qual Plant Foods Hum Nutr 31:139-50.</w:t>
      </w:r>
    </w:p>
    <w:p w14:paraId="32576510" w14:textId="5D30B0D4" w:rsidR="000A0880" w:rsidRDefault="000A0880" w:rsidP="00A36783"/>
    <w:p w14:paraId="2FFC9599" w14:textId="76DF4A79" w:rsidR="000A0880" w:rsidRDefault="000A0880" w:rsidP="00A36783">
      <w:r>
        <w:t>Downey K (2005). Rapeseed to Canola: Rags to Riches. Agriculture and Agri-food Canada Research Centre, Saskatoon. Agriculture Biotechnology: Economic Growth through New Products, Partnerships and Workforce Development.</w:t>
      </w:r>
      <w:r w:rsidR="006E7527">
        <w:t xml:space="preserve"> NABC Report 18: 67-75</w:t>
      </w:r>
      <w:r w:rsidR="00504013">
        <w:t>.</w:t>
      </w:r>
    </w:p>
    <w:p w14:paraId="20D50840" w14:textId="77777777" w:rsidR="003B7235" w:rsidRDefault="003B7235" w:rsidP="00A36783"/>
    <w:p w14:paraId="6BA334EC" w14:textId="2948FAF3" w:rsidR="00F653E4" w:rsidRDefault="00F653E4" w:rsidP="00A36783">
      <w:pPr>
        <w:rPr>
          <w:lang w:bidi="ar-SA"/>
        </w:rPr>
      </w:pPr>
      <w:r>
        <w:rPr>
          <w:lang w:bidi="ar-SA"/>
        </w:rPr>
        <w:t xml:space="preserve">DSM </w:t>
      </w:r>
      <w:r w:rsidR="00890867">
        <w:rPr>
          <w:lang w:bidi="ar-SA"/>
        </w:rPr>
        <w:t xml:space="preserve">Nutritional Products Asia Pacific </w:t>
      </w:r>
      <w:r>
        <w:rPr>
          <w:lang w:bidi="ar-SA"/>
        </w:rPr>
        <w:t xml:space="preserve">submission (2020). Submission received during submission period for application A1175. </w:t>
      </w:r>
      <w:hyperlink r:id="rId26" w:history="1">
        <w:r w:rsidR="00890867" w:rsidRPr="00E675DA">
          <w:rPr>
            <w:rStyle w:val="Hyperlink"/>
            <w:lang w:bidi="ar-SA"/>
          </w:rPr>
          <w:t>https://www.foodstandards.gov.au/code/applications/Pages/A1175.aspx</w:t>
        </w:r>
      </w:hyperlink>
    </w:p>
    <w:p w14:paraId="5BD20AA9" w14:textId="40527B4E" w:rsidR="00F653E4" w:rsidRDefault="00F653E4" w:rsidP="00A36783">
      <w:pPr>
        <w:rPr>
          <w:lang w:bidi="ar-SA"/>
        </w:rPr>
      </w:pPr>
    </w:p>
    <w:p w14:paraId="1F15FC95" w14:textId="3D2265AB" w:rsidR="00B53089" w:rsidRDefault="00AC061B" w:rsidP="00A36783">
      <w:pPr>
        <w:rPr>
          <w:lang w:bidi="ar-SA"/>
        </w:rPr>
      </w:pPr>
      <w:r w:rsidRPr="00AC061B">
        <w:rPr>
          <w:lang w:bidi="ar-SA"/>
        </w:rPr>
        <w:t>Euro</w:t>
      </w:r>
      <w:r>
        <w:rPr>
          <w:lang w:bidi="ar-SA"/>
        </w:rPr>
        <w:t>pean Food Safety Authority (</w:t>
      </w:r>
      <w:r w:rsidR="00FF5F53">
        <w:rPr>
          <w:lang w:bidi="ar-SA"/>
        </w:rPr>
        <w:t>EFSA</w:t>
      </w:r>
      <w:r>
        <w:rPr>
          <w:lang w:bidi="ar-SA"/>
        </w:rPr>
        <w:t>) NDA</w:t>
      </w:r>
      <w:r w:rsidR="00FF5F53">
        <w:rPr>
          <w:lang w:bidi="ar-SA"/>
        </w:rPr>
        <w:t xml:space="preserve"> Panel on Dietetic Products, Nutrition and Allergies</w:t>
      </w:r>
      <w:r w:rsidR="00E3423F">
        <w:rPr>
          <w:lang w:bidi="ar-SA"/>
        </w:rPr>
        <w:t xml:space="preserve">) </w:t>
      </w:r>
      <w:r w:rsidR="00FF5F53">
        <w:rPr>
          <w:lang w:bidi="ar-SA"/>
        </w:rPr>
        <w:t>2013. Scientific opinion on the safety of “rapeseed protein isolate” as a Novel Food ingredient. EFSA Journal 11(10): 3420, 23 pp</w:t>
      </w:r>
      <w:r w:rsidR="0015360A">
        <w:rPr>
          <w:lang w:bidi="ar-SA"/>
        </w:rPr>
        <w:t>. doi: 10.2903/j.efsa.2013.3420.</w:t>
      </w:r>
    </w:p>
    <w:p w14:paraId="4A0ECFE0" w14:textId="2D9FBCD8" w:rsidR="00D0184F" w:rsidRDefault="00D0184F" w:rsidP="00A36783">
      <w:pPr>
        <w:rPr>
          <w:lang w:bidi="ar-SA"/>
        </w:rPr>
      </w:pPr>
    </w:p>
    <w:p w14:paraId="72404AE2" w14:textId="39779615" w:rsidR="00800A3B" w:rsidRDefault="00AC061B" w:rsidP="00A36783">
      <w:pPr>
        <w:rPr>
          <w:lang w:bidi="ar-SA"/>
        </w:rPr>
      </w:pPr>
      <w:r w:rsidRPr="00AC061B">
        <w:rPr>
          <w:lang w:bidi="ar-SA"/>
        </w:rPr>
        <w:t>Euro</w:t>
      </w:r>
      <w:r>
        <w:rPr>
          <w:lang w:bidi="ar-SA"/>
        </w:rPr>
        <w:t>pean Food Safety Authority (</w:t>
      </w:r>
      <w:r w:rsidR="00ED2F9C">
        <w:rPr>
          <w:lang w:bidi="ar-SA"/>
        </w:rPr>
        <w:t>EFSA</w:t>
      </w:r>
      <w:r>
        <w:rPr>
          <w:lang w:bidi="ar-SA"/>
        </w:rPr>
        <w:t>)</w:t>
      </w:r>
      <w:r w:rsidR="00ED2F9C">
        <w:rPr>
          <w:lang w:bidi="ar-SA"/>
        </w:rPr>
        <w:t xml:space="preserve"> Panel on Contaminants in the Food Chain (2016). Erucic acid in feed and food. EFSA Journal 14(11)</w:t>
      </w:r>
      <w:r w:rsidR="0015360A">
        <w:rPr>
          <w:lang w:bidi="ar-SA"/>
        </w:rPr>
        <w:t>.</w:t>
      </w:r>
      <w:r w:rsidR="00ED2F9C">
        <w:rPr>
          <w:lang w:bidi="ar-SA"/>
        </w:rPr>
        <w:t xml:space="preserve"> </w:t>
      </w:r>
      <w:hyperlink r:id="rId27" w:history="1">
        <w:r w:rsidR="00ED2F9C" w:rsidRPr="00FA0683">
          <w:rPr>
            <w:rStyle w:val="Hyperlink"/>
            <w:lang w:bidi="ar-SA"/>
          </w:rPr>
          <w:t>https://efsa.onlinelibrary.wiley.com/doi/10.2903/j.efsa.2016.4593</w:t>
        </w:r>
      </w:hyperlink>
      <w:r w:rsidR="00ED2F9C">
        <w:rPr>
          <w:lang w:bidi="ar-SA"/>
        </w:rPr>
        <w:t xml:space="preserve">  </w:t>
      </w:r>
    </w:p>
    <w:p w14:paraId="3BC565A4" w14:textId="77777777" w:rsidR="009468C8" w:rsidRDefault="009468C8" w:rsidP="00A36783">
      <w:pPr>
        <w:rPr>
          <w:lang w:bidi="ar-SA"/>
        </w:rPr>
      </w:pPr>
    </w:p>
    <w:p w14:paraId="003EAA5D" w14:textId="23B19931" w:rsidR="00046502" w:rsidRPr="00046502" w:rsidRDefault="00800A3B" w:rsidP="00046502">
      <w:pPr>
        <w:rPr>
          <w:lang w:bidi="ar-SA"/>
        </w:rPr>
      </w:pPr>
      <w:r w:rsidRPr="00800A3B">
        <w:rPr>
          <w:lang w:bidi="ar-SA"/>
        </w:rPr>
        <w:t>European Food Safety Authority (EFSA) NDA Panel on Dietetic Products, Nutrition and Allergies) 20</w:t>
      </w:r>
      <w:r>
        <w:rPr>
          <w:lang w:bidi="ar-SA"/>
        </w:rPr>
        <w:t>20</w:t>
      </w:r>
      <w:r w:rsidRPr="00800A3B">
        <w:rPr>
          <w:lang w:bidi="ar-SA"/>
        </w:rPr>
        <w:t>.</w:t>
      </w:r>
      <w:r>
        <w:rPr>
          <w:lang w:bidi="ar-SA"/>
        </w:rPr>
        <w:t xml:space="preserve"> </w:t>
      </w:r>
      <w:r w:rsidRPr="00800A3B">
        <w:rPr>
          <w:lang w:bidi="ar-SA"/>
        </w:rPr>
        <w:t>Safety of rapeseed powder from Brassica rapa L. and Brassica napus L. as a Novel food pursuant to Regulation (EU) 2015/2283</w:t>
      </w:r>
      <w:r w:rsidR="009468C8">
        <w:rPr>
          <w:lang w:bidi="ar-SA"/>
        </w:rPr>
        <w:t>. EFSA Journal 18(7).</w:t>
      </w:r>
      <w:r>
        <w:rPr>
          <w:lang w:bidi="ar-SA"/>
        </w:rPr>
        <w:t xml:space="preserve"> </w:t>
      </w:r>
      <w:hyperlink r:id="rId28" w:history="1">
        <w:r w:rsidR="00046502" w:rsidRPr="00B25C5C">
          <w:rPr>
            <w:rStyle w:val="Hyperlink"/>
            <w:lang w:bidi="ar-SA"/>
          </w:rPr>
          <w:t>https://doi.org/10.2903/j.efsa.2020.6197</w:t>
        </w:r>
      </w:hyperlink>
    </w:p>
    <w:p w14:paraId="553D747C" w14:textId="5A7E651A" w:rsidR="00ED2F9C" w:rsidRDefault="00ED2F9C" w:rsidP="00A36783">
      <w:pPr>
        <w:rPr>
          <w:lang w:bidi="ar-SA"/>
        </w:rPr>
      </w:pPr>
    </w:p>
    <w:p w14:paraId="0D2B08FB" w14:textId="50B3B657" w:rsidR="00F87743" w:rsidRDefault="00F87743" w:rsidP="00A36783">
      <w:pPr>
        <w:rPr>
          <w:lang w:bidi="ar-SA"/>
        </w:rPr>
      </w:pPr>
      <w:r>
        <w:rPr>
          <w:lang w:bidi="ar-SA"/>
        </w:rPr>
        <w:t xml:space="preserve">European Commission </w:t>
      </w:r>
      <w:r w:rsidR="007B1237">
        <w:rPr>
          <w:lang w:bidi="ar-SA"/>
        </w:rPr>
        <w:t>(</w:t>
      </w:r>
      <w:r>
        <w:rPr>
          <w:lang w:bidi="ar-SA"/>
        </w:rPr>
        <w:t>2014</w:t>
      </w:r>
      <w:r w:rsidR="007B1237">
        <w:rPr>
          <w:lang w:bidi="ar-SA"/>
        </w:rPr>
        <w:t>).</w:t>
      </w:r>
      <w:r w:rsidR="00C534AD">
        <w:rPr>
          <w:lang w:bidi="ar-SA"/>
        </w:rPr>
        <w:t xml:space="preserve"> </w:t>
      </w:r>
      <w:r>
        <w:rPr>
          <w:lang w:bidi="ar-SA"/>
        </w:rPr>
        <w:t>Commission Implementing Decision of 1 July 2014 authorising the placing on the market of rapeseed protein as a novel food ingredient under Regulation (EC) No 258/97 of the European Parliament and of the Council, EU/424/2014.</w:t>
      </w:r>
      <w:r w:rsidR="007B1237">
        <w:rPr>
          <w:lang w:bidi="ar-SA"/>
        </w:rPr>
        <w:t xml:space="preserve"> </w:t>
      </w:r>
      <w:hyperlink r:id="rId29" w:history="1">
        <w:r w:rsidR="007B1237" w:rsidRPr="003F50CC">
          <w:rPr>
            <w:rStyle w:val="Hyperlink"/>
            <w:lang w:bidi="ar-SA"/>
          </w:rPr>
          <w:t>http://data.europa.eu/eli/dec_impl/2014/424/oj</w:t>
        </w:r>
      </w:hyperlink>
      <w:r w:rsidR="00EE4221" w:rsidRPr="00EE4221">
        <w:rPr>
          <w:lang w:bidi="ar-SA"/>
        </w:rPr>
        <w:t xml:space="preserve">. </w:t>
      </w:r>
      <w:r w:rsidR="007B1237">
        <w:rPr>
          <w:lang w:bidi="ar-SA"/>
        </w:rPr>
        <w:t>Accessed April 2020.</w:t>
      </w:r>
    </w:p>
    <w:p w14:paraId="762CAF09" w14:textId="7EF56ED0" w:rsidR="008D6E2B" w:rsidRPr="0024208A" w:rsidRDefault="008D6E2B" w:rsidP="00A36783">
      <w:pPr>
        <w:rPr>
          <w:lang w:bidi="ar-SA"/>
        </w:rPr>
      </w:pPr>
    </w:p>
    <w:p w14:paraId="45024186" w14:textId="77777777" w:rsidR="008D6E2B" w:rsidRPr="0024208A" w:rsidRDefault="008D6E2B" w:rsidP="008D6E2B">
      <w:r w:rsidRPr="0024208A">
        <w:t>Figueroa J, Blanco C, Dumpiérrez AG, Almeida L, Ortega N, Castillo R, Carrillo T (2005). Mustard allergy confirmed by double</w:t>
      </w:r>
      <w:r w:rsidRPr="0024208A">
        <w:rPr>
          <w:rFonts w:ascii="Cambria Math" w:hAnsi="Cambria Math" w:cs="Cambria Math"/>
        </w:rPr>
        <w:t>‐</w:t>
      </w:r>
      <w:r w:rsidRPr="0024208A">
        <w:t>blind placebo</w:t>
      </w:r>
      <w:r w:rsidRPr="0024208A">
        <w:rPr>
          <w:rFonts w:ascii="Cambria Math" w:hAnsi="Cambria Math" w:cs="Cambria Math"/>
        </w:rPr>
        <w:t>‐</w:t>
      </w:r>
      <w:r w:rsidRPr="0024208A">
        <w:t>controlled food challenges: clinical features and cross</w:t>
      </w:r>
      <w:r w:rsidRPr="0024208A">
        <w:rPr>
          <w:rFonts w:ascii="Cambria Math" w:hAnsi="Cambria Math" w:cs="Cambria Math"/>
        </w:rPr>
        <w:t>‐</w:t>
      </w:r>
      <w:r w:rsidRPr="0024208A">
        <w:t>reactivity with mugwort pollen and plant</w:t>
      </w:r>
      <w:r w:rsidRPr="0024208A">
        <w:rPr>
          <w:rFonts w:ascii="Cambria Math" w:hAnsi="Cambria Math" w:cs="Cambria Math"/>
        </w:rPr>
        <w:t>‐</w:t>
      </w:r>
      <w:r w:rsidRPr="0024208A">
        <w:t xml:space="preserve">derived foods. </w:t>
      </w:r>
      <w:r w:rsidRPr="0024208A">
        <w:rPr>
          <w:iCs/>
        </w:rPr>
        <w:t>Allergy</w:t>
      </w:r>
      <w:r w:rsidRPr="0024208A">
        <w:t xml:space="preserve"> </w:t>
      </w:r>
      <w:r w:rsidRPr="0024208A">
        <w:rPr>
          <w:iCs/>
        </w:rPr>
        <w:t>60</w:t>
      </w:r>
      <w:r w:rsidRPr="0024208A">
        <w:t>(1): 48-55.</w:t>
      </w:r>
    </w:p>
    <w:p w14:paraId="6A523651" w14:textId="77777777" w:rsidR="007C09CB" w:rsidRPr="0024208A" w:rsidRDefault="007C09CB" w:rsidP="00693BBB">
      <w:pPr>
        <w:autoSpaceDE w:val="0"/>
        <w:autoSpaceDN w:val="0"/>
        <w:adjustRightInd w:val="0"/>
        <w:rPr>
          <w:rFonts w:cs="Arial"/>
          <w:szCs w:val="22"/>
        </w:rPr>
      </w:pPr>
    </w:p>
    <w:p w14:paraId="7C9FCCC2" w14:textId="4CEE3ACA" w:rsidR="00693BBB" w:rsidRPr="001D3B29" w:rsidRDefault="00693BBB" w:rsidP="00693BBB">
      <w:pPr>
        <w:autoSpaceDE w:val="0"/>
        <w:autoSpaceDN w:val="0"/>
        <w:adjustRightInd w:val="0"/>
        <w:rPr>
          <w:rFonts w:cs="Arial"/>
          <w:szCs w:val="22"/>
        </w:rPr>
      </w:pPr>
      <w:r w:rsidRPr="001D3B29">
        <w:rPr>
          <w:rFonts w:cs="Arial"/>
          <w:szCs w:val="22"/>
        </w:rPr>
        <w:t xml:space="preserve">Food and Agriculture Organization of the United Nations, World Health Organization. 2014. Ranking of low moisture foods in support of microbiological risk management. Report of an FAO/WHO consultation process. Available at </w:t>
      </w:r>
      <w:hyperlink r:id="rId30" w:history="1">
        <w:r w:rsidRPr="001D3B29">
          <w:rPr>
            <w:rStyle w:val="Hyperlink"/>
            <w:rFonts w:cs="Arial"/>
            <w:szCs w:val="22"/>
          </w:rPr>
          <w:t>http://www.fao.org/tempref/codex/Meetings/CCFH/CCFH46/LMF Part 1-3 30Oct 2014.pdf</w:t>
        </w:r>
      </w:hyperlink>
      <w:r w:rsidRPr="001D3B29">
        <w:rPr>
          <w:rFonts w:cs="Arial"/>
          <w:szCs w:val="22"/>
        </w:rPr>
        <w:t xml:space="preserve"> Accessed </w:t>
      </w:r>
      <w:r>
        <w:rPr>
          <w:rFonts w:cs="Arial"/>
        </w:rPr>
        <w:t>20 April 2020.</w:t>
      </w:r>
    </w:p>
    <w:p w14:paraId="59D72E85" w14:textId="1A6AF62A" w:rsidR="00693BBB" w:rsidRDefault="00693BBB" w:rsidP="007247A0">
      <w:pPr>
        <w:rPr>
          <w:lang w:bidi="ar-SA"/>
        </w:rPr>
      </w:pPr>
    </w:p>
    <w:p w14:paraId="143217B4" w14:textId="77777777" w:rsidR="005D16DC" w:rsidRPr="00A36783" w:rsidRDefault="005D16DC" w:rsidP="005D16DC">
      <w:pPr>
        <w:rPr>
          <w:lang w:bidi="ar-SA"/>
        </w:rPr>
      </w:pPr>
      <w:r>
        <w:rPr>
          <w:lang w:bidi="ar-SA"/>
        </w:rPr>
        <w:t xml:space="preserve">FSAI (2017) Substantial Equivalence Opinion. DSM Rapeseed protein. </w:t>
      </w:r>
      <w:hyperlink r:id="rId31" w:history="1">
        <w:r w:rsidRPr="00FA0683">
          <w:rPr>
            <w:rStyle w:val="Hyperlink"/>
            <w:lang w:bidi="ar-SA"/>
          </w:rPr>
          <w:t>https://www.fsai.ie/science_health/novel_food_applications/substantial_equivalence_opinions.html</w:t>
        </w:r>
      </w:hyperlink>
      <w:r>
        <w:rPr>
          <w:lang w:bidi="ar-SA"/>
        </w:rPr>
        <w:t xml:space="preserve"> Accessed February 2020.</w:t>
      </w:r>
    </w:p>
    <w:p w14:paraId="60C41DF8" w14:textId="77777777" w:rsidR="005D16DC" w:rsidRPr="00F30B39" w:rsidRDefault="005D16DC" w:rsidP="005D16DC">
      <w:pPr>
        <w:rPr>
          <w:lang w:bidi="ar-SA"/>
        </w:rPr>
      </w:pPr>
    </w:p>
    <w:p w14:paraId="5363D103" w14:textId="77777777" w:rsidR="007247A0" w:rsidRPr="007247A0" w:rsidRDefault="007247A0" w:rsidP="007247A0">
      <w:pPr>
        <w:rPr>
          <w:rFonts w:cs="Arial"/>
          <w:szCs w:val="22"/>
          <w:lang w:bidi="ar-SA"/>
        </w:rPr>
      </w:pPr>
      <w:r w:rsidRPr="007247A0">
        <w:rPr>
          <w:lang w:bidi="ar-SA"/>
        </w:rPr>
        <w:t xml:space="preserve">FSANZ (2016). 2011-13 Australian Food and Nutrient Database (AUSNUT). </w:t>
      </w:r>
      <w:hyperlink r:id="rId32" w:history="1">
        <w:r w:rsidRPr="007247A0">
          <w:rPr>
            <w:rStyle w:val="Hyperlink"/>
            <w:rFonts w:cs="Arial"/>
            <w:szCs w:val="22"/>
            <w:lang w:bidi="ar-SA"/>
          </w:rPr>
          <w:t>https://www.foodstandards.gov.au/science/monitoringnutrients/ausnut/pages/default.aspx</w:t>
        </w:r>
      </w:hyperlink>
    </w:p>
    <w:p w14:paraId="37564ACA" w14:textId="77777777" w:rsidR="007247A0" w:rsidRPr="007247A0" w:rsidRDefault="007247A0" w:rsidP="007247A0">
      <w:pPr>
        <w:rPr>
          <w:rFonts w:cs="Arial"/>
          <w:szCs w:val="22"/>
          <w:lang w:bidi="ar-SA"/>
        </w:rPr>
      </w:pPr>
      <w:r w:rsidRPr="007247A0">
        <w:rPr>
          <w:rFonts w:cs="Arial"/>
          <w:szCs w:val="22"/>
          <w:lang w:bidi="ar-SA"/>
        </w:rPr>
        <w:t>Accessed April 2020.</w:t>
      </w:r>
    </w:p>
    <w:p w14:paraId="047FF40A" w14:textId="77777777" w:rsidR="007247A0" w:rsidRPr="00F87951" w:rsidRDefault="007247A0" w:rsidP="007247A0">
      <w:pPr>
        <w:rPr>
          <w:rFonts w:cs="Arial"/>
          <w:szCs w:val="22"/>
          <w:lang w:bidi="ar-SA"/>
        </w:rPr>
      </w:pPr>
    </w:p>
    <w:p w14:paraId="2FCE4B13" w14:textId="40AFA093" w:rsidR="006B040A" w:rsidRDefault="006B040A" w:rsidP="006B040A">
      <w:pPr>
        <w:rPr>
          <w:rFonts w:cs="Arial"/>
          <w:szCs w:val="22"/>
          <w:lang w:bidi="ar-SA"/>
        </w:rPr>
      </w:pPr>
      <w:r>
        <w:rPr>
          <w:lang w:bidi="ar-SA"/>
        </w:rPr>
        <w:t>FSANZ (2017</w:t>
      </w:r>
      <w:r w:rsidR="005D16DC">
        <w:rPr>
          <w:lang w:bidi="ar-SA"/>
        </w:rPr>
        <w:t>a</w:t>
      </w:r>
      <w:r>
        <w:rPr>
          <w:lang w:bidi="ar-SA"/>
        </w:rPr>
        <w:t xml:space="preserve">). Record of views from the Advisory Committee on Novel Foods (ACNF) or Novel Foods Reference Group (NFRG) to inquiries on Standard 1.5.1 Novel Foods. </w:t>
      </w:r>
      <w:hyperlink r:id="rId33" w:history="1">
        <w:r w:rsidRPr="006B040A">
          <w:rPr>
            <w:rStyle w:val="Hyperlink"/>
            <w:rFonts w:cs="Arial"/>
            <w:szCs w:val="22"/>
            <w:lang w:bidi="ar-SA"/>
          </w:rPr>
          <w:t>https://www.foodstandards.gov.au/industry/novel/novelrecs/pages/default.aspx</w:t>
        </w:r>
        <w:r w:rsidRPr="007968C5">
          <w:rPr>
            <w:rStyle w:val="Hyperlink"/>
            <w:rFonts w:cs="Arial"/>
            <w:szCs w:val="22"/>
            <w:lang w:bidi="ar-SA"/>
          </w:rPr>
          <w:t xml:space="preserve"> Accessed April 2020</w:t>
        </w:r>
      </w:hyperlink>
      <w:r>
        <w:rPr>
          <w:rFonts w:cs="Arial"/>
          <w:szCs w:val="22"/>
          <w:lang w:bidi="ar-SA"/>
        </w:rPr>
        <w:t>.</w:t>
      </w:r>
    </w:p>
    <w:p w14:paraId="66F3DBAA" w14:textId="77777777" w:rsidR="006B040A" w:rsidRPr="000B5307" w:rsidRDefault="006B040A" w:rsidP="006B040A">
      <w:pPr>
        <w:rPr>
          <w:rFonts w:cs="Arial"/>
          <w:szCs w:val="22"/>
          <w:lang w:bidi="ar-SA"/>
        </w:rPr>
      </w:pPr>
    </w:p>
    <w:p w14:paraId="46397173" w14:textId="5D563048" w:rsidR="00BC6786" w:rsidRDefault="00BC6786" w:rsidP="009726BE">
      <w:pPr>
        <w:rPr>
          <w:lang w:bidi="ar-SA"/>
        </w:rPr>
      </w:pPr>
      <w:r>
        <w:rPr>
          <w:lang w:bidi="ar-SA"/>
        </w:rPr>
        <w:t>FSANZ (2017</w:t>
      </w:r>
      <w:r w:rsidR="005D16DC">
        <w:rPr>
          <w:lang w:bidi="ar-SA"/>
        </w:rPr>
        <w:t>b</w:t>
      </w:r>
      <w:r>
        <w:rPr>
          <w:lang w:bidi="ar-SA"/>
        </w:rPr>
        <w:t xml:space="preserve">) Agents of foodborne illness. </w:t>
      </w:r>
      <w:hyperlink r:id="rId34" w:history="1">
        <w:r w:rsidRPr="008857CA">
          <w:rPr>
            <w:rStyle w:val="Hyperlink"/>
            <w:lang w:bidi="ar-SA"/>
          </w:rPr>
          <w:t>https://www.foodstandards.gov.au/publications/Pages/agentsoffoodborneill5155.aspx</w:t>
        </w:r>
      </w:hyperlink>
      <w:r>
        <w:rPr>
          <w:lang w:bidi="ar-SA"/>
        </w:rPr>
        <w:t xml:space="preserve">. Accessed 22 May 2020. </w:t>
      </w:r>
    </w:p>
    <w:p w14:paraId="2F8A79AD" w14:textId="301FD8F7" w:rsidR="00C85984" w:rsidRDefault="00C85984" w:rsidP="00E045B7">
      <w:pPr>
        <w:rPr>
          <w:szCs w:val="22"/>
        </w:rPr>
      </w:pPr>
    </w:p>
    <w:p w14:paraId="092CCBBB" w14:textId="66B7A7EC" w:rsidR="00B67748" w:rsidRDefault="00B67748" w:rsidP="00E045B7">
      <w:pPr>
        <w:rPr>
          <w:szCs w:val="22"/>
        </w:rPr>
      </w:pPr>
      <w:r>
        <w:rPr>
          <w:szCs w:val="22"/>
        </w:rPr>
        <w:t xml:space="preserve">FSANZ (2018) </w:t>
      </w:r>
      <w:r w:rsidRPr="00B67748">
        <w:rPr>
          <w:szCs w:val="22"/>
        </w:rPr>
        <w:t>Imported food risk assessment: How FSANZ assesses food safety risks from imported foods</w:t>
      </w:r>
      <w:r>
        <w:rPr>
          <w:szCs w:val="22"/>
        </w:rPr>
        <w:t xml:space="preserve">. </w:t>
      </w:r>
      <w:hyperlink r:id="rId35" w:history="1">
        <w:r w:rsidRPr="00171C05">
          <w:rPr>
            <w:rStyle w:val="Hyperlink"/>
            <w:szCs w:val="22"/>
          </w:rPr>
          <w:t>https://www.foodstandards.gov.au/consumer/importedfoods/Documents/Imported%20food%20risk%20assessment%20document.pdf</w:t>
        </w:r>
      </w:hyperlink>
      <w:r>
        <w:rPr>
          <w:szCs w:val="22"/>
        </w:rPr>
        <w:t>. Accessed April 2020.</w:t>
      </w:r>
    </w:p>
    <w:p w14:paraId="5C3AAFCB" w14:textId="77777777" w:rsidR="00B67748" w:rsidRPr="009726BE" w:rsidRDefault="00B67748" w:rsidP="00E045B7">
      <w:pPr>
        <w:rPr>
          <w:szCs w:val="22"/>
        </w:rPr>
      </w:pPr>
    </w:p>
    <w:p w14:paraId="399ABDD2" w14:textId="6352627A" w:rsidR="00614DC8" w:rsidRDefault="00614DC8" w:rsidP="00E045B7">
      <w:pPr>
        <w:rPr>
          <w:szCs w:val="22"/>
        </w:rPr>
      </w:pPr>
      <w:r>
        <w:rPr>
          <w:szCs w:val="22"/>
        </w:rPr>
        <w:t>FSANZ (2019) 25</w:t>
      </w:r>
      <w:r w:rsidRPr="00614DC8">
        <w:rPr>
          <w:szCs w:val="22"/>
          <w:vertAlign w:val="superscript"/>
        </w:rPr>
        <w:t>th</w:t>
      </w:r>
      <w:r>
        <w:rPr>
          <w:szCs w:val="22"/>
        </w:rPr>
        <w:t xml:space="preserve"> Australian Total Diet Study. June 2019.</w:t>
      </w:r>
    </w:p>
    <w:p w14:paraId="55D1E69E" w14:textId="0B75D7FE" w:rsidR="00614DC8" w:rsidRDefault="006574B6" w:rsidP="00E045B7">
      <w:hyperlink r:id="rId36" w:history="1">
        <w:r w:rsidR="00614DC8" w:rsidRPr="00841C9D">
          <w:rPr>
            <w:rStyle w:val="Hyperlink"/>
          </w:rPr>
          <w:t>https://www.foodstandards.gov.au/publications/Pages/25th-Australian-Total-Diet-Study.aspx</w:t>
        </w:r>
      </w:hyperlink>
    </w:p>
    <w:p w14:paraId="40D87FAF" w14:textId="77777777" w:rsidR="00614DC8" w:rsidRDefault="00614DC8" w:rsidP="00E045B7">
      <w:pPr>
        <w:rPr>
          <w:szCs w:val="22"/>
        </w:rPr>
      </w:pPr>
    </w:p>
    <w:p w14:paraId="34B78BB3" w14:textId="7035AA44" w:rsidR="00E045B7" w:rsidRDefault="00E045B7" w:rsidP="00E045B7">
      <w:pPr>
        <w:rPr>
          <w:szCs w:val="22"/>
        </w:rPr>
      </w:pPr>
      <w:r w:rsidRPr="00434DA1">
        <w:rPr>
          <w:szCs w:val="22"/>
        </w:rPr>
        <w:t>Gemede HF and Ratta N (2014)</w:t>
      </w:r>
      <w:r>
        <w:rPr>
          <w:szCs w:val="22"/>
        </w:rPr>
        <w:t>.</w:t>
      </w:r>
      <w:r w:rsidRPr="00434DA1">
        <w:rPr>
          <w:szCs w:val="22"/>
        </w:rPr>
        <w:t xml:space="preserve"> Anti-nutritional factors in plant foods: </w:t>
      </w:r>
      <w:r>
        <w:rPr>
          <w:szCs w:val="22"/>
        </w:rPr>
        <w:t>p</w:t>
      </w:r>
      <w:r w:rsidRPr="00434DA1">
        <w:rPr>
          <w:szCs w:val="22"/>
        </w:rPr>
        <w:t xml:space="preserve">otential health </w:t>
      </w:r>
      <w:r w:rsidRPr="0029205E">
        <w:rPr>
          <w:szCs w:val="22"/>
        </w:rPr>
        <w:t xml:space="preserve">benefits and adverse effects. </w:t>
      </w:r>
      <w:r w:rsidRPr="0029205E">
        <w:rPr>
          <w:iCs/>
          <w:szCs w:val="22"/>
        </w:rPr>
        <w:t>Int J Nutr Food Sci</w:t>
      </w:r>
      <w:r w:rsidRPr="0029205E">
        <w:rPr>
          <w:szCs w:val="22"/>
        </w:rPr>
        <w:t xml:space="preserve"> </w:t>
      </w:r>
      <w:r w:rsidRPr="0029205E">
        <w:rPr>
          <w:i/>
          <w:iCs/>
          <w:szCs w:val="22"/>
        </w:rPr>
        <w:t>3</w:t>
      </w:r>
      <w:r w:rsidRPr="0029205E">
        <w:rPr>
          <w:szCs w:val="22"/>
        </w:rPr>
        <w:t>(4):284-9.</w:t>
      </w:r>
    </w:p>
    <w:p w14:paraId="49788920" w14:textId="77777777" w:rsidR="00E045B7" w:rsidRPr="0029205E" w:rsidRDefault="00E045B7" w:rsidP="00E045B7">
      <w:pPr>
        <w:rPr>
          <w:szCs w:val="22"/>
        </w:rPr>
      </w:pPr>
    </w:p>
    <w:p w14:paraId="184774CD" w14:textId="7B06AEB8" w:rsidR="007247A0" w:rsidRDefault="007247A0" w:rsidP="000B5307">
      <w:pPr>
        <w:pStyle w:val="CommentText"/>
        <w:rPr>
          <w:sz w:val="22"/>
          <w:szCs w:val="22"/>
        </w:rPr>
      </w:pPr>
      <w:r>
        <w:rPr>
          <w:sz w:val="22"/>
          <w:szCs w:val="22"/>
        </w:rPr>
        <w:t xml:space="preserve">Goodman </w:t>
      </w:r>
      <w:r w:rsidR="00C67AE6">
        <w:rPr>
          <w:sz w:val="22"/>
          <w:szCs w:val="22"/>
        </w:rPr>
        <w:t xml:space="preserve">RE </w:t>
      </w:r>
      <w:r w:rsidR="00E265C7">
        <w:rPr>
          <w:sz w:val="22"/>
          <w:szCs w:val="22"/>
        </w:rPr>
        <w:t>(</w:t>
      </w:r>
      <w:r>
        <w:rPr>
          <w:sz w:val="22"/>
          <w:szCs w:val="22"/>
        </w:rPr>
        <w:t>2016</w:t>
      </w:r>
      <w:r w:rsidR="00E265C7">
        <w:rPr>
          <w:sz w:val="22"/>
          <w:szCs w:val="22"/>
        </w:rPr>
        <w:t>)</w:t>
      </w:r>
      <w:r w:rsidR="00E265C7" w:rsidRPr="00E265C7">
        <w:t xml:space="preserve"> </w:t>
      </w:r>
      <w:r w:rsidR="00E265C7">
        <w:rPr>
          <w:sz w:val="22"/>
          <w:szCs w:val="22"/>
        </w:rPr>
        <w:t>Bioinformatics analysis of potential allergenicity and celiac disease of six storage p</w:t>
      </w:r>
      <w:r w:rsidR="00E265C7" w:rsidRPr="00E265C7">
        <w:rPr>
          <w:sz w:val="22"/>
          <w:szCs w:val="22"/>
        </w:rPr>
        <w:t>rote</w:t>
      </w:r>
      <w:r w:rsidR="00E265C7">
        <w:rPr>
          <w:sz w:val="22"/>
          <w:szCs w:val="22"/>
        </w:rPr>
        <w:t>ins from rapeseed</w:t>
      </w:r>
      <w:r w:rsidR="00C67AE6">
        <w:rPr>
          <w:sz w:val="22"/>
          <w:szCs w:val="22"/>
        </w:rPr>
        <w:t xml:space="preserve"> for food safety evaluation</w:t>
      </w:r>
      <w:r w:rsidR="00E265C7" w:rsidRPr="00E265C7">
        <w:rPr>
          <w:sz w:val="22"/>
          <w:szCs w:val="22"/>
        </w:rPr>
        <w:t>.</w:t>
      </w:r>
      <w:r w:rsidR="00E265C7">
        <w:rPr>
          <w:sz w:val="22"/>
          <w:szCs w:val="22"/>
        </w:rPr>
        <w:t xml:space="preserve"> U</w:t>
      </w:r>
      <w:r w:rsidR="00E265C7" w:rsidRPr="00E265C7">
        <w:rPr>
          <w:sz w:val="22"/>
          <w:szCs w:val="22"/>
        </w:rPr>
        <w:t>npublished report</w:t>
      </w:r>
      <w:r w:rsidR="00E265C7">
        <w:rPr>
          <w:sz w:val="22"/>
          <w:szCs w:val="22"/>
        </w:rPr>
        <w:t>.</w:t>
      </w:r>
    </w:p>
    <w:p w14:paraId="65FDF07D" w14:textId="1D0AA318" w:rsidR="002B02B1" w:rsidRDefault="002B02B1" w:rsidP="00A062C7">
      <w:pPr>
        <w:pStyle w:val="CommentText"/>
        <w:rPr>
          <w:sz w:val="22"/>
          <w:szCs w:val="24"/>
        </w:rPr>
      </w:pPr>
    </w:p>
    <w:p w14:paraId="6BAE3B71" w14:textId="1538AB5B" w:rsidR="00A062C7" w:rsidRPr="00A062C7" w:rsidRDefault="00A062C7" w:rsidP="00A062C7">
      <w:pPr>
        <w:pStyle w:val="CommentText"/>
        <w:rPr>
          <w:sz w:val="22"/>
          <w:szCs w:val="24"/>
        </w:rPr>
      </w:pPr>
      <w:r w:rsidRPr="00A062C7">
        <w:rPr>
          <w:sz w:val="22"/>
          <w:szCs w:val="24"/>
        </w:rPr>
        <w:t>Hänninen</w:t>
      </w:r>
      <w:r>
        <w:t xml:space="preserve"> AR</w:t>
      </w:r>
      <w:r>
        <w:rPr>
          <w:sz w:val="22"/>
          <w:szCs w:val="24"/>
        </w:rPr>
        <w:t xml:space="preserve">, </w:t>
      </w:r>
      <w:r w:rsidRPr="00A062C7">
        <w:rPr>
          <w:sz w:val="22"/>
          <w:szCs w:val="24"/>
        </w:rPr>
        <w:t>Mikkola</w:t>
      </w:r>
      <w:r>
        <w:t xml:space="preserve"> JH</w:t>
      </w:r>
      <w:r>
        <w:rPr>
          <w:sz w:val="22"/>
          <w:szCs w:val="24"/>
        </w:rPr>
        <w:t xml:space="preserve">, </w:t>
      </w:r>
      <w:r w:rsidRPr="00A062C7">
        <w:rPr>
          <w:sz w:val="22"/>
          <w:szCs w:val="24"/>
        </w:rPr>
        <w:t>Kalkkinen</w:t>
      </w:r>
      <w:r>
        <w:t xml:space="preserve"> N</w:t>
      </w:r>
      <w:r>
        <w:rPr>
          <w:sz w:val="22"/>
          <w:szCs w:val="24"/>
        </w:rPr>
        <w:t xml:space="preserve">, </w:t>
      </w:r>
      <w:r w:rsidRPr="00A062C7">
        <w:rPr>
          <w:sz w:val="22"/>
          <w:szCs w:val="24"/>
        </w:rPr>
        <w:t>Turjanmaa</w:t>
      </w:r>
      <w:r>
        <w:t xml:space="preserve"> K</w:t>
      </w:r>
      <w:r>
        <w:rPr>
          <w:sz w:val="22"/>
          <w:szCs w:val="24"/>
        </w:rPr>
        <w:t xml:space="preserve">, </w:t>
      </w:r>
      <w:r w:rsidRPr="00A062C7">
        <w:rPr>
          <w:sz w:val="22"/>
          <w:szCs w:val="24"/>
        </w:rPr>
        <w:t>Ylitalo</w:t>
      </w:r>
      <w:r>
        <w:t xml:space="preserve"> L</w:t>
      </w:r>
      <w:r>
        <w:rPr>
          <w:sz w:val="22"/>
          <w:szCs w:val="24"/>
        </w:rPr>
        <w:t xml:space="preserve">, </w:t>
      </w:r>
      <w:r w:rsidRPr="00A062C7">
        <w:rPr>
          <w:sz w:val="22"/>
          <w:szCs w:val="24"/>
        </w:rPr>
        <w:t>Reunala</w:t>
      </w:r>
      <w:r>
        <w:t xml:space="preserve"> T</w:t>
      </w:r>
      <w:r>
        <w:rPr>
          <w:sz w:val="22"/>
          <w:szCs w:val="24"/>
        </w:rPr>
        <w:t xml:space="preserve">, </w:t>
      </w:r>
      <w:r w:rsidRPr="00A062C7">
        <w:rPr>
          <w:sz w:val="22"/>
          <w:szCs w:val="24"/>
        </w:rPr>
        <w:t>Palosuo</w:t>
      </w:r>
      <w:r>
        <w:t xml:space="preserve"> T (1999).</w:t>
      </w:r>
      <w:r w:rsidRPr="00A062C7">
        <w:rPr>
          <w:sz w:val="22"/>
          <w:szCs w:val="24"/>
        </w:rPr>
        <w:t xml:space="preserve"> </w:t>
      </w:r>
      <w:r>
        <w:rPr>
          <w:sz w:val="22"/>
          <w:szCs w:val="24"/>
        </w:rPr>
        <w:t>Increased allergen production in turnip (</w:t>
      </w:r>
      <w:r w:rsidRPr="00A062C7">
        <w:rPr>
          <w:i/>
          <w:sz w:val="22"/>
          <w:szCs w:val="24"/>
        </w:rPr>
        <w:t>Brassica rapa</w:t>
      </w:r>
      <w:r>
        <w:rPr>
          <w:sz w:val="22"/>
          <w:szCs w:val="24"/>
        </w:rPr>
        <w:t xml:space="preserve">) by treatments activating defense mechanisms. </w:t>
      </w:r>
      <w:r w:rsidRPr="00A062C7">
        <w:rPr>
          <w:sz w:val="22"/>
          <w:szCs w:val="24"/>
        </w:rPr>
        <w:t xml:space="preserve">J Allergy Clin Immunol </w:t>
      </w:r>
      <w:r>
        <w:rPr>
          <w:sz w:val="22"/>
          <w:szCs w:val="24"/>
        </w:rPr>
        <w:t>104(1):194-201.</w:t>
      </w:r>
    </w:p>
    <w:p w14:paraId="3178C0D7" w14:textId="77777777" w:rsidR="00A062C7" w:rsidRDefault="00A062C7" w:rsidP="00ED3233"/>
    <w:p w14:paraId="3CCF56CA" w14:textId="5C38BC49" w:rsidR="00ED3233" w:rsidRDefault="00ED3233" w:rsidP="00ED3233">
      <w:r>
        <w:t>Health Canada (2010). Mustard: A Priority Food Allergen in Canada</w:t>
      </w:r>
      <w:r w:rsidR="00E265C7">
        <w:t>.</w:t>
      </w:r>
      <w:r>
        <w:t xml:space="preserve"> A systematic review. </w:t>
      </w:r>
      <w:hyperlink r:id="rId37" w:history="1">
        <w:r w:rsidRPr="00E30207">
          <w:rPr>
            <w:rStyle w:val="Hyperlink"/>
          </w:rPr>
          <w:t>https://www.canada.ca/content/dam/hc-sc/migration/hc-sc/fn-an/alt_formats/pdf/pubs/label-etiquet/mustard-moutarde/index-eng.pdf</w:t>
        </w:r>
        <w:r w:rsidRPr="00E314D2">
          <w:rPr>
            <w:rStyle w:val="Hyperlink"/>
          </w:rPr>
          <w:t xml:space="preserve"> Accessed 19 May 2020</w:t>
        </w:r>
      </w:hyperlink>
      <w:r w:rsidR="00504013">
        <w:t>.</w:t>
      </w:r>
    </w:p>
    <w:p w14:paraId="2040817F" w14:textId="77777777" w:rsidR="007247A0" w:rsidRDefault="007247A0" w:rsidP="000B5307">
      <w:pPr>
        <w:pStyle w:val="CommentText"/>
        <w:rPr>
          <w:sz w:val="22"/>
          <w:szCs w:val="22"/>
        </w:rPr>
      </w:pPr>
    </w:p>
    <w:p w14:paraId="76A0BB35" w14:textId="32C5068C" w:rsidR="00284487" w:rsidRDefault="00486B9A" w:rsidP="00486B9A">
      <w:pPr>
        <w:pStyle w:val="CommentText"/>
        <w:rPr>
          <w:sz w:val="22"/>
          <w:szCs w:val="22"/>
        </w:rPr>
      </w:pPr>
      <w:r w:rsidRPr="00486B9A">
        <w:rPr>
          <w:sz w:val="22"/>
          <w:szCs w:val="22"/>
        </w:rPr>
        <w:t xml:space="preserve">Herrmann, K., Inhaltsstoffe des Chinakohl und Pak </w:t>
      </w:r>
      <w:r>
        <w:rPr>
          <w:sz w:val="22"/>
          <w:szCs w:val="22"/>
        </w:rPr>
        <w:t xml:space="preserve">Choi. (1999). Die </w:t>
      </w:r>
      <w:r w:rsidRPr="00486B9A">
        <w:rPr>
          <w:sz w:val="22"/>
          <w:szCs w:val="22"/>
        </w:rPr>
        <w:t>industrielle O</w:t>
      </w:r>
      <w:r>
        <w:rPr>
          <w:sz w:val="22"/>
          <w:szCs w:val="22"/>
        </w:rPr>
        <w:t xml:space="preserve">bst- und Gem severwertung </w:t>
      </w:r>
      <w:r w:rsidRPr="00486B9A">
        <w:rPr>
          <w:sz w:val="22"/>
          <w:szCs w:val="22"/>
        </w:rPr>
        <w:t>2, 40–44.</w:t>
      </w:r>
    </w:p>
    <w:p w14:paraId="4BA4A6B9" w14:textId="77777777" w:rsidR="00284487" w:rsidRDefault="00284487" w:rsidP="000B5307">
      <w:pPr>
        <w:pStyle w:val="CommentText"/>
        <w:rPr>
          <w:sz w:val="22"/>
          <w:szCs w:val="22"/>
        </w:rPr>
      </w:pPr>
    </w:p>
    <w:p w14:paraId="6A52E4D9" w14:textId="5A640F1D" w:rsidR="000B5307" w:rsidRPr="000B5307" w:rsidRDefault="000B5307" w:rsidP="000B5307">
      <w:pPr>
        <w:pStyle w:val="CommentText"/>
        <w:rPr>
          <w:sz w:val="22"/>
          <w:szCs w:val="22"/>
        </w:rPr>
      </w:pPr>
      <w:r>
        <w:rPr>
          <w:sz w:val="22"/>
          <w:szCs w:val="22"/>
        </w:rPr>
        <w:t>Honig DH, Wolf WJ and</w:t>
      </w:r>
      <w:r w:rsidRPr="000B5307">
        <w:rPr>
          <w:sz w:val="22"/>
          <w:szCs w:val="22"/>
        </w:rPr>
        <w:t xml:space="preserve"> Rackis JJ</w:t>
      </w:r>
      <w:r>
        <w:rPr>
          <w:sz w:val="22"/>
          <w:szCs w:val="22"/>
        </w:rPr>
        <w:t xml:space="preserve"> (1984). </w:t>
      </w:r>
      <w:r w:rsidRPr="000B5307">
        <w:rPr>
          <w:sz w:val="22"/>
          <w:szCs w:val="22"/>
        </w:rPr>
        <w:t>Phytic acid and phosphorus content of various soybean protein fractions</w:t>
      </w:r>
      <w:r>
        <w:rPr>
          <w:sz w:val="22"/>
          <w:szCs w:val="22"/>
        </w:rPr>
        <w:t>. Cereal Chem. 61(6):</w:t>
      </w:r>
      <w:r w:rsidRPr="000B5307">
        <w:rPr>
          <w:sz w:val="22"/>
          <w:szCs w:val="22"/>
        </w:rPr>
        <w:t>523-526.</w:t>
      </w:r>
    </w:p>
    <w:p w14:paraId="55E1F037" w14:textId="77777777" w:rsidR="000B5307" w:rsidRPr="000B5307" w:rsidRDefault="000B5307" w:rsidP="000B5307">
      <w:pPr>
        <w:pStyle w:val="CommentText"/>
        <w:rPr>
          <w:sz w:val="22"/>
          <w:szCs w:val="22"/>
        </w:rPr>
      </w:pPr>
    </w:p>
    <w:p w14:paraId="58444C26" w14:textId="56ECCF84" w:rsidR="00D40A4F" w:rsidRPr="000B5307" w:rsidRDefault="00D40A4F" w:rsidP="000B5307">
      <w:pPr>
        <w:pStyle w:val="CommentText"/>
        <w:rPr>
          <w:rFonts w:cs="Arial"/>
          <w:sz w:val="22"/>
          <w:szCs w:val="22"/>
        </w:rPr>
      </w:pPr>
      <w:r w:rsidRPr="000B5307">
        <w:rPr>
          <w:rFonts w:cs="Arial"/>
          <w:sz w:val="22"/>
          <w:szCs w:val="22"/>
        </w:rPr>
        <w:t xml:space="preserve">Hurrell FD, Juillerat MA, </w:t>
      </w:r>
      <w:r w:rsidR="00D30581" w:rsidRPr="000B5307">
        <w:rPr>
          <w:rFonts w:cs="Arial"/>
          <w:sz w:val="22"/>
          <w:szCs w:val="22"/>
        </w:rPr>
        <w:t>Reddy MB, Lynch SR, Dassenko SA and</w:t>
      </w:r>
      <w:r w:rsidRPr="000B5307">
        <w:rPr>
          <w:rFonts w:cs="Arial"/>
          <w:sz w:val="22"/>
          <w:szCs w:val="22"/>
        </w:rPr>
        <w:t xml:space="preserve"> Cook JD (1992). Soy protein, phytate, and iron absorption in humans. A</w:t>
      </w:r>
      <w:r w:rsidR="000B5307" w:rsidRPr="000B5307">
        <w:rPr>
          <w:rFonts w:cs="Arial"/>
          <w:sz w:val="22"/>
          <w:szCs w:val="22"/>
        </w:rPr>
        <w:t>m</w:t>
      </w:r>
      <w:r w:rsidRPr="000B5307">
        <w:rPr>
          <w:rFonts w:cs="Arial"/>
          <w:sz w:val="22"/>
          <w:szCs w:val="22"/>
        </w:rPr>
        <w:t xml:space="preserve"> J Clin Nutr 56(3):573-8.</w:t>
      </w:r>
    </w:p>
    <w:p w14:paraId="6DBDE9E8" w14:textId="77777777" w:rsidR="00D40A4F" w:rsidRPr="000B5307" w:rsidRDefault="00D40A4F" w:rsidP="00434DA1">
      <w:pPr>
        <w:pStyle w:val="CommentText"/>
        <w:rPr>
          <w:rFonts w:cs="Arial"/>
          <w:sz w:val="22"/>
          <w:szCs w:val="22"/>
          <w:lang w:val="en" w:eastAsia="en-GB"/>
        </w:rPr>
      </w:pPr>
    </w:p>
    <w:p w14:paraId="45CDBBF3" w14:textId="1593DFBB" w:rsidR="00434DA1" w:rsidRPr="00D40A4F" w:rsidRDefault="00434DA1" w:rsidP="00434DA1">
      <w:pPr>
        <w:pStyle w:val="CommentText"/>
        <w:rPr>
          <w:rFonts w:cs="Arial"/>
          <w:sz w:val="22"/>
          <w:szCs w:val="22"/>
          <w:lang w:bidi="ar-SA"/>
        </w:rPr>
      </w:pPr>
      <w:r w:rsidRPr="000B5307">
        <w:rPr>
          <w:rFonts w:cs="Arial"/>
          <w:sz w:val="22"/>
          <w:szCs w:val="22"/>
          <w:lang w:bidi="ar-SA"/>
        </w:rPr>
        <w:t>Hurrell</w:t>
      </w:r>
      <w:r w:rsidRPr="00D40A4F">
        <w:rPr>
          <w:rFonts w:cs="Arial"/>
          <w:sz w:val="22"/>
          <w:szCs w:val="22"/>
          <w:lang w:bidi="ar-SA"/>
        </w:rPr>
        <w:t xml:space="preserve"> RF (2003). </w:t>
      </w:r>
      <w:r w:rsidRPr="00D40A4F">
        <w:rPr>
          <w:rFonts w:cs="Arial"/>
          <w:sz w:val="22"/>
          <w:szCs w:val="22"/>
          <w:lang w:val="en"/>
        </w:rPr>
        <w:t>Influence of vegetable protein sources on trace element and mineral bioavailability. J Nutr 133(9)2973S-7S.</w:t>
      </w:r>
    </w:p>
    <w:p w14:paraId="0F1A4585" w14:textId="367D0A7C" w:rsidR="00434DA1" w:rsidRPr="0029205E" w:rsidRDefault="00434DA1" w:rsidP="004A26DB">
      <w:pPr>
        <w:rPr>
          <w:szCs w:val="22"/>
          <w:lang w:bidi="ar-SA"/>
        </w:rPr>
      </w:pPr>
    </w:p>
    <w:p w14:paraId="73871E5E" w14:textId="39B66CF4" w:rsidR="00C85984" w:rsidRPr="008F11F5" w:rsidRDefault="00C85984" w:rsidP="00C85984">
      <w:r w:rsidRPr="008F11F5">
        <w:t>ICMSF (1996)</w:t>
      </w:r>
      <w:r w:rsidR="00CE6196">
        <w:t>.</w:t>
      </w:r>
      <w:r w:rsidRPr="008F11F5">
        <w:t xml:space="preserve"> Salmonellae. Ch 14 In: Microorganisms in food 5: Microbiological</w:t>
      </w:r>
    </w:p>
    <w:p w14:paraId="21A4E905" w14:textId="47D0A5D2" w:rsidR="00C85984" w:rsidRDefault="00C85984" w:rsidP="00C85984">
      <w:r w:rsidRPr="008F11F5">
        <w:t>specifications of food pathogens. Blackie Academic and Professional, London, p. 217–264</w:t>
      </w:r>
      <w:r w:rsidR="008F68FA">
        <w:t>.</w:t>
      </w:r>
    </w:p>
    <w:p w14:paraId="0511137B" w14:textId="6F42E185" w:rsidR="00C85984" w:rsidRDefault="00C85984" w:rsidP="000B5307">
      <w:pPr>
        <w:pStyle w:val="CommentText"/>
        <w:rPr>
          <w:rFonts w:cs="Arial"/>
          <w:sz w:val="22"/>
          <w:szCs w:val="22"/>
        </w:rPr>
      </w:pPr>
    </w:p>
    <w:p w14:paraId="6ACCBDEB" w14:textId="6E98A5A0" w:rsidR="004B167F" w:rsidRDefault="004B167F" w:rsidP="004B167F">
      <w:r>
        <w:t xml:space="preserve">JECFA (2011) </w:t>
      </w:r>
      <w:r>
        <w:rPr>
          <w:i/>
        </w:rPr>
        <w:t>Safety evaluation of certain food additives and contaminants.</w:t>
      </w:r>
      <w:r>
        <w:t xml:space="preserve"> WHO Food Additives Series: 64 (Lead addendum). Joint FAO/WHO Expert Committee on Food Additives, Geneva. </w:t>
      </w:r>
      <w:hyperlink r:id="rId38" w:history="1">
        <w:r>
          <w:rPr>
            <w:rStyle w:val="Hyperlink"/>
          </w:rPr>
          <w:t>http://apps.who.int/food-additives-contaminants-jecfa-database/document.aspx?docID=9003</w:t>
        </w:r>
      </w:hyperlink>
      <w:r>
        <w:t>. Accessed on May 18 2017.</w:t>
      </w:r>
    </w:p>
    <w:p w14:paraId="46BE1221" w14:textId="77777777" w:rsidR="004B167F" w:rsidRDefault="004B167F" w:rsidP="004B167F">
      <w:pPr>
        <w:rPr>
          <w:szCs w:val="22"/>
          <w:lang w:bidi="ar-SA"/>
        </w:rPr>
      </w:pPr>
    </w:p>
    <w:p w14:paraId="32857DA8" w14:textId="7B0F9F24" w:rsidR="00E045B7" w:rsidRDefault="00E045B7" w:rsidP="004B167F">
      <w:pPr>
        <w:pStyle w:val="CommentText"/>
        <w:rPr>
          <w:rFonts w:cs="Arial"/>
          <w:sz w:val="22"/>
          <w:szCs w:val="22"/>
        </w:rPr>
      </w:pPr>
      <w:r w:rsidRPr="00E045B7">
        <w:rPr>
          <w:rFonts w:cs="Arial"/>
          <w:sz w:val="22"/>
          <w:szCs w:val="22"/>
        </w:rPr>
        <w:t xml:space="preserve">Jongen WMF (1996). Glucosinolates in </w:t>
      </w:r>
      <w:r w:rsidRPr="00D15586">
        <w:rPr>
          <w:rFonts w:cs="Arial"/>
          <w:i/>
          <w:sz w:val="22"/>
          <w:szCs w:val="22"/>
        </w:rPr>
        <w:t>Brassica</w:t>
      </w:r>
      <w:r w:rsidRPr="00E045B7">
        <w:rPr>
          <w:rFonts w:cs="Arial"/>
          <w:sz w:val="22"/>
          <w:szCs w:val="22"/>
        </w:rPr>
        <w:t>: occurrence and significance as cancer-modulating age</w:t>
      </w:r>
      <w:r w:rsidR="0015360A">
        <w:rPr>
          <w:rFonts w:cs="Arial"/>
          <w:sz w:val="22"/>
          <w:szCs w:val="22"/>
        </w:rPr>
        <w:t>nts. Proc Nutr Soc 55</w:t>
      </w:r>
      <w:r w:rsidR="00DA0B9D">
        <w:rPr>
          <w:rFonts w:cs="Arial"/>
          <w:sz w:val="22"/>
          <w:szCs w:val="22"/>
        </w:rPr>
        <w:t>:</w:t>
      </w:r>
      <w:r w:rsidR="0015360A">
        <w:rPr>
          <w:rFonts w:cs="Arial"/>
          <w:sz w:val="22"/>
          <w:szCs w:val="22"/>
        </w:rPr>
        <w:t>433–446.</w:t>
      </w:r>
    </w:p>
    <w:p w14:paraId="17770779" w14:textId="77777777" w:rsidR="006B0E92" w:rsidRDefault="006B0E92" w:rsidP="000B5307">
      <w:pPr>
        <w:pStyle w:val="CommentText"/>
        <w:rPr>
          <w:rFonts w:cs="Arial"/>
          <w:sz w:val="22"/>
          <w:szCs w:val="22"/>
        </w:rPr>
      </w:pPr>
    </w:p>
    <w:p w14:paraId="2A784100" w14:textId="6AB53C45" w:rsidR="0038753D" w:rsidRDefault="0039437D" w:rsidP="00486B9A">
      <w:pPr>
        <w:pStyle w:val="CommentText"/>
        <w:rPr>
          <w:rFonts w:cs="Arial"/>
          <w:sz w:val="22"/>
          <w:szCs w:val="22"/>
          <w:lang w:val="en"/>
        </w:rPr>
      </w:pPr>
      <w:r>
        <w:rPr>
          <w:rFonts w:cs="Arial"/>
          <w:sz w:val="22"/>
          <w:szCs w:val="22"/>
          <w:lang w:val="en"/>
        </w:rPr>
        <w:t>Kang, JY, Ibrahim K</w:t>
      </w:r>
      <w:r w:rsidR="00486B9A" w:rsidRPr="00486B9A">
        <w:rPr>
          <w:rFonts w:cs="Arial"/>
          <w:sz w:val="22"/>
          <w:szCs w:val="22"/>
          <w:lang w:val="en"/>
        </w:rPr>
        <w:t>E, J</w:t>
      </w:r>
      <w:r>
        <w:rPr>
          <w:rFonts w:cs="Arial"/>
          <w:sz w:val="22"/>
          <w:szCs w:val="22"/>
          <w:lang w:val="en"/>
        </w:rPr>
        <w:t>uvik JA, Kim DH,</w:t>
      </w:r>
      <w:r w:rsidR="00486B9A">
        <w:rPr>
          <w:rFonts w:cs="Arial"/>
          <w:sz w:val="22"/>
          <w:szCs w:val="22"/>
          <w:lang w:val="en"/>
        </w:rPr>
        <w:t xml:space="preserve"> et al. (2006). </w:t>
      </w:r>
      <w:r w:rsidR="00486B9A" w:rsidRPr="00486B9A">
        <w:rPr>
          <w:rFonts w:cs="Arial"/>
          <w:sz w:val="22"/>
          <w:szCs w:val="22"/>
          <w:lang w:val="en"/>
        </w:rPr>
        <w:t>Genetic and environmental var</w:t>
      </w:r>
      <w:r w:rsidR="00486B9A">
        <w:rPr>
          <w:rFonts w:cs="Arial"/>
          <w:sz w:val="22"/>
          <w:szCs w:val="22"/>
          <w:lang w:val="en"/>
        </w:rPr>
        <w:t>iation of glucosinolate content in Chinese cabbage.</w:t>
      </w:r>
      <w:r w:rsidR="00486B9A" w:rsidRPr="00486B9A">
        <w:rPr>
          <w:rFonts w:cs="Arial"/>
          <w:sz w:val="22"/>
          <w:szCs w:val="22"/>
          <w:lang w:val="en"/>
        </w:rPr>
        <w:t xml:space="preserve"> J. Hortic. Sci. </w:t>
      </w:r>
      <w:r w:rsidR="00486B9A">
        <w:rPr>
          <w:rFonts w:cs="Arial"/>
          <w:sz w:val="22"/>
          <w:szCs w:val="22"/>
          <w:lang w:val="en"/>
        </w:rPr>
        <w:t>41:</w:t>
      </w:r>
      <w:r w:rsidR="00486B9A" w:rsidRPr="00486B9A">
        <w:rPr>
          <w:rFonts w:cs="Arial"/>
          <w:sz w:val="22"/>
          <w:szCs w:val="22"/>
          <w:lang w:val="en"/>
        </w:rPr>
        <w:t>1382 –1385.</w:t>
      </w:r>
    </w:p>
    <w:p w14:paraId="4D8E08B5" w14:textId="77777777" w:rsidR="0038753D" w:rsidRDefault="0038753D" w:rsidP="000B5307">
      <w:pPr>
        <w:pStyle w:val="CommentText"/>
        <w:rPr>
          <w:rFonts w:cs="Arial"/>
          <w:sz w:val="22"/>
          <w:szCs w:val="22"/>
          <w:lang w:val="en"/>
        </w:rPr>
      </w:pPr>
    </w:p>
    <w:p w14:paraId="2AA3A00E" w14:textId="46A89CA4" w:rsidR="006B0E92" w:rsidRPr="006B0E92" w:rsidRDefault="006B0E92" w:rsidP="000B5307">
      <w:pPr>
        <w:pStyle w:val="CommentText"/>
        <w:rPr>
          <w:rFonts w:cs="Arial"/>
          <w:sz w:val="22"/>
          <w:szCs w:val="22"/>
          <w:lang w:val="en"/>
        </w:rPr>
      </w:pPr>
      <w:r w:rsidRPr="006B0E92">
        <w:rPr>
          <w:rFonts w:cs="Arial"/>
          <w:sz w:val="22"/>
          <w:szCs w:val="22"/>
          <w:lang w:val="en"/>
        </w:rPr>
        <w:t>Kistenmaker C, Bouman M, Hulshof KFAM (1998). Food Consumption Standard 1997–1998, report no 98812 Zeist. TNO Nutrition and Food Research: The Netherlands.</w:t>
      </w:r>
    </w:p>
    <w:p w14:paraId="2C8725A3" w14:textId="77777777" w:rsidR="00E045B7" w:rsidRPr="006B0E92" w:rsidRDefault="00E045B7" w:rsidP="000B5307">
      <w:pPr>
        <w:pStyle w:val="CommentText"/>
        <w:rPr>
          <w:rFonts w:cs="Arial"/>
          <w:sz w:val="22"/>
          <w:szCs w:val="22"/>
          <w:lang w:val="en"/>
        </w:rPr>
      </w:pPr>
    </w:p>
    <w:p w14:paraId="1D5B8F34" w14:textId="04618710" w:rsidR="0029205E" w:rsidRPr="0029205E" w:rsidRDefault="0029205E" w:rsidP="000B5307">
      <w:pPr>
        <w:pStyle w:val="CommentText"/>
        <w:rPr>
          <w:rFonts w:cs="Arial"/>
          <w:sz w:val="22"/>
          <w:szCs w:val="22"/>
        </w:rPr>
      </w:pPr>
      <w:r w:rsidRPr="0029205E">
        <w:rPr>
          <w:rFonts w:cs="Arial"/>
          <w:sz w:val="22"/>
          <w:szCs w:val="22"/>
        </w:rPr>
        <w:t xml:space="preserve">Koletzko B, Agostoni C, Axelsson I, Goulet O, Michaelsen KF, Puntis J, Rieu D, Rigo J, Shamir </w:t>
      </w:r>
      <w:r>
        <w:rPr>
          <w:rFonts w:cs="Arial"/>
          <w:sz w:val="22"/>
          <w:szCs w:val="22"/>
        </w:rPr>
        <w:t xml:space="preserve">R, Szajewska H, Turck D (2006). </w:t>
      </w:r>
      <w:r w:rsidRPr="0029205E">
        <w:rPr>
          <w:rFonts w:cs="Arial"/>
          <w:sz w:val="22"/>
          <w:szCs w:val="22"/>
        </w:rPr>
        <w:t>Soy protein infant formulae and follow-on formulae: a commentary by the European Society of Paediatric Gastroenterology, Hepatology and Nutrition (ESPG</w:t>
      </w:r>
      <w:r>
        <w:rPr>
          <w:rFonts w:cs="Arial"/>
          <w:sz w:val="22"/>
          <w:szCs w:val="22"/>
        </w:rPr>
        <w:t>H</w:t>
      </w:r>
      <w:r w:rsidRPr="0029205E">
        <w:rPr>
          <w:rFonts w:cs="Arial"/>
          <w:sz w:val="22"/>
          <w:szCs w:val="22"/>
        </w:rPr>
        <w:t xml:space="preserve">AN) committee on nutrition. J Pediatric Gastroent Nutr </w:t>
      </w:r>
      <w:r>
        <w:rPr>
          <w:rFonts w:cs="Arial"/>
          <w:sz w:val="22"/>
          <w:szCs w:val="22"/>
        </w:rPr>
        <w:t>42:</w:t>
      </w:r>
      <w:r w:rsidRPr="0029205E">
        <w:rPr>
          <w:rFonts w:cs="Arial"/>
          <w:sz w:val="22"/>
          <w:szCs w:val="22"/>
        </w:rPr>
        <w:t>352-361.</w:t>
      </w:r>
    </w:p>
    <w:p w14:paraId="2EC43953" w14:textId="77777777" w:rsidR="0029205E" w:rsidRPr="0029205E" w:rsidRDefault="0029205E" w:rsidP="000B5307">
      <w:pPr>
        <w:pStyle w:val="CommentText"/>
        <w:rPr>
          <w:rFonts w:cs="Arial"/>
          <w:sz w:val="22"/>
          <w:szCs w:val="22"/>
        </w:rPr>
      </w:pPr>
    </w:p>
    <w:p w14:paraId="071554E7" w14:textId="15BCCFF4" w:rsidR="00284487" w:rsidRDefault="0039437D" w:rsidP="00486B9A">
      <w:pPr>
        <w:pStyle w:val="CommentText"/>
        <w:rPr>
          <w:rFonts w:cs="Arial"/>
          <w:sz w:val="22"/>
          <w:szCs w:val="22"/>
        </w:rPr>
      </w:pPr>
      <w:r>
        <w:rPr>
          <w:rFonts w:cs="Arial"/>
          <w:sz w:val="22"/>
          <w:szCs w:val="22"/>
        </w:rPr>
        <w:t>Kushad MM, Brown AF</w:t>
      </w:r>
      <w:r w:rsidR="00486B9A" w:rsidRPr="00486B9A">
        <w:rPr>
          <w:rFonts w:cs="Arial"/>
          <w:sz w:val="22"/>
          <w:szCs w:val="22"/>
        </w:rPr>
        <w:t>, Ku</w:t>
      </w:r>
      <w:r>
        <w:rPr>
          <w:rFonts w:cs="Arial"/>
          <w:sz w:val="22"/>
          <w:szCs w:val="22"/>
        </w:rPr>
        <w:t>rilich AC, Juvik JA</w:t>
      </w:r>
      <w:r w:rsidR="00486B9A">
        <w:rPr>
          <w:rFonts w:cs="Arial"/>
          <w:sz w:val="22"/>
          <w:szCs w:val="22"/>
        </w:rPr>
        <w:t xml:space="preserve">, et al. (1999). Variation of </w:t>
      </w:r>
      <w:r w:rsidR="00486B9A" w:rsidRPr="00486B9A">
        <w:rPr>
          <w:rFonts w:cs="Arial"/>
          <w:sz w:val="22"/>
          <w:szCs w:val="22"/>
        </w:rPr>
        <w:t>glucosinolates</w:t>
      </w:r>
      <w:r w:rsidR="00486B9A">
        <w:rPr>
          <w:rFonts w:cs="Arial"/>
          <w:sz w:val="22"/>
          <w:szCs w:val="22"/>
        </w:rPr>
        <w:t xml:space="preserve"> in vegetable crops of </w:t>
      </w:r>
      <w:r w:rsidR="00486B9A" w:rsidRPr="00D15586">
        <w:rPr>
          <w:rFonts w:cs="Arial"/>
          <w:i/>
          <w:sz w:val="22"/>
          <w:szCs w:val="22"/>
        </w:rPr>
        <w:t>Brassica</w:t>
      </w:r>
      <w:r w:rsidR="00486B9A">
        <w:rPr>
          <w:rFonts w:cs="Arial"/>
          <w:sz w:val="22"/>
          <w:szCs w:val="22"/>
        </w:rPr>
        <w:t xml:space="preserve"> </w:t>
      </w:r>
      <w:r w:rsidR="00486B9A" w:rsidRPr="00D15586">
        <w:rPr>
          <w:rFonts w:cs="Arial"/>
          <w:i/>
          <w:sz w:val="22"/>
          <w:szCs w:val="22"/>
        </w:rPr>
        <w:t>oleracea</w:t>
      </w:r>
      <w:r w:rsidR="00486B9A">
        <w:rPr>
          <w:rFonts w:cs="Arial"/>
          <w:sz w:val="22"/>
          <w:szCs w:val="22"/>
        </w:rPr>
        <w:t>, J. Agric. Food Chem. 47:</w:t>
      </w:r>
      <w:r w:rsidR="00486B9A" w:rsidRPr="00486B9A">
        <w:rPr>
          <w:rFonts w:cs="Arial"/>
          <w:sz w:val="22"/>
          <w:szCs w:val="22"/>
        </w:rPr>
        <w:t>1541–1548.</w:t>
      </w:r>
    </w:p>
    <w:p w14:paraId="184D1659" w14:textId="348EAC99" w:rsidR="00284487" w:rsidRDefault="00284487" w:rsidP="000B5307">
      <w:pPr>
        <w:pStyle w:val="CommentText"/>
        <w:rPr>
          <w:rFonts w:cs="Arial"/>
          <w:sz w:val="22"/>
          <w:szCs w:val="22"/>
        </w:rPr>
      </w:pPr>
    </w:p>
    <w:p w14:paraId="6080381B" w14:textId="4C7FBBE5" w:rsidR="00284487" w:rsidRDefault="0039437D" w:rsidP="000B5307">
      <w:pPr>
        <w:pStyle w:val="CommentText"/>
        <w:rPr>
          <w:rFonts w:cs="Arial"/>
          <w:sz w:val="22"/>
          <w:szCs w:val="22"/>
        </w:rPr>
      </w:pPr>
      <w:r>
        <w:rPr>
          <w:rFonts w:cs="Arial"/>
          <w:sz w:val="22"/>
          <w:szCs w:val="22"/>
        </w:rPr>
        <w:t>Lee MK, Chun J</w:t>
      </w:r>
      <w:r w:rsidR="00486B9A" w:rsidRPr="00486B9A">
        <w:rPr>
          <w:rFonts w:cs="Arial"/>
          <w:sz w:val="22"/>
          <w:szCs w:val="22"/>
        </w:rPr>
        <w:t xml:space="preserve">H, Byeon DH, et al. </w:t>
      </w:r>
      <w:r w:rsidR="00486B9A">
        <w:rPr>
          <w:rFonts w:cs="Arial"/>
          <w:sz w:val="22"/>
          <w:szCs w:val="22"/>
        </w:rPr>
        <w:t xml:space="preserve">(2014). </w:t>
      </w:r>
      <w:r w:rsidR="00486B9A" w:rsidRPr="00486B9A">
        <w:rPr>
          <w:rFonts w:cs="Arial"/>
          <w:sz w:val="22"/>
          <w:szCs w:val="22"/>
        </w:rPr>
        <w:t>Variation of glucosinolates in 62 varieties of Chinese cabbage (</w:t>
      </w:r>
      <w:r w:rsidR="00486B9A" w:rsidRPr="00D15586">
        <w:rPr>
          <w:rFonts w:cs="Arial"/>
          <w:i/>
          <w:sz w:val="22"/>
          <w:szCs w:val="22"/>
        </w:rPr>
        <w:t>Brassica</w:t>
      </w:r>
      <w:r w:rsidR="00486B9A" w:rsidRPr="00486B9A">
        <w:rPr>
          <w:rFonts w:cs="Arial"/>
          <w:sz w:val="22"/>
          <w:szCs w:val="22"/>
        </w:rPr>
        <w:t xml:space="preserve"> </w:t>
      </w:r>
      <w:r w:rsidR="00486B9A" w:rsidRPr="00D15586">
        <w:rPr>
          <w:rFonts w:cs="Arial"/>
          <w:i/>
          <w:sz w:val="22"/>
          <w:szCs w:val="22"/>
        </w:rPr>
        <w:t>rapa</w:t>
      </w:r>
      <w:r w:rsidR="00486B9A" w:rsidRPr="00486B9A">
        <w:rPr>
          <w:rFonts w:cs="Arial"/>
          <w:sz w:val="22"/>
          <w:szCs w:val="22"/>
        </w:rPr>
        <w:t xml:space="preserve"> L. ssp. pekinensis) and their antioxidant activity. Food Sci Technol. 58:93–101.</w:t>
      </w:r>
    </w:p>
    <w:p w14:paraId="5B8D00FE" w14:textId="77777777" w:rsidR="00284487" w:rsidRDefault="00284487" w:rsidP="000B5307">
      <w:pPr>
        <w:pStyle w:val="CommentText"/>
        <w:rPr>
          <w:rFonts w:cs="Arial"/>
          <w:sz w:val="22"/>
          <w:szCs w:val="22"/>
        </w:rPr>
      </w:pPr>
    </w:p>
    <w:p w14:paraId="176F54BE" w14:textId="46083EB2" w:rsidR="000A0880" w:rsidRDefault="000A0880" w:rsidP="000B5307">
      <w:pPr>
        <w:pStyle w:val="CommentText"/>
        <w:rPr>
          <w:rFonts w:cs="Arial"/>
          <w:sz w:val="22"/>
          <w:szCs w:val="22"/>
        </w:rPr>
      </w:pPr>
      <w:r>
        <w:rPr>
          <w:rFonts w:cs="Arial"/>
          <w:sz w:val="22"/>
          <w:szCs w:val="22"/>
        </w:rPr>
        <w:t>L</w:t>
      </w:r>
      <w:r w:rsidR="006E7527">
        <w:rPr>
          <w:rFonts w:cs="Arial"/>
          <w:sz w:val="22"/>
          <w:szCs w:val="22"/>
        </w:rPr>
        <w:t>o</w:t>
      </w:r>
      <w:r>
        <w:rPr>
          <w:rFonts w:cs="Arial"/>
          <w:sz w:val="22"/>
          <w:szCs w:val="22"/>
        </w:rPr>
        <w:t>ew</w:t>
      </w:r>
      <w:r w:rsidR="006E7527">
        <w:rPr>
          <w:rFonts w:cs="Arial"/>
          <w:sz w:val="22"/>
          <w:szCs w:val="22"/>
        </w:rPr>
        <w:t xml:space="preserve"> FM, Doige CE, Manns JG, Searcy GP, Bell JM and Jones JD (1976). Evaluation of dietary rapeseed protein flours in rats and dogs. Toxicology and Applied Pharmacology 35: 257-267</w:t>
      </w:r>
      <w:r w:rsidR="00504013">
        <w:rPr>
          <w:rFonts w:cs="Arial"/>
          <w:sz w:val="22"/>
          <w:szCs w:val="22"/>
        </w:rPr>
        <w:t>.</w:t>
      </w:r>
    </w:p>
    <w:p w14:paraId="7A149C95" w14:textId="77777777" w:rsidR="000A0880" w:rsidRPr="0029205E" w:rsidRDefault="000A0880" w:rsidP="000B5307">
      <w:pPr>
        <w:pStyle w:val="CommentText"/>
        <w:rPr>
          <w:rFonts w:cs="Arial"/>
          <w:sz w:val="22"/>
          <w:szCs w:val="22"/>
        </w:rPr>
      </w:pPr>
    </w:p>
    <w:p w14:paraId="53D6E832" w14:textId="7F2104F9" w:rsidR="000B5307" w:rsidRDefault="000B5307" w:rsidP="004A26DB">
      <w:pPr>
        <w:rPr>
          <w:szCs w:val="22"/>
          <w:lang w:bidi="ar-SA"/>
        </w:rPr>
      </w:pPr>
      <w:r>
        <w:rPr>
          <w:szCs w:val="22"/>
          <w:lang w:bidi="ar-SA"/>
        </w:rPr>
        <w:t>Macfarlane BJ, Bezwoda WR, Bothwell TH, Baynes RD, Bothwell JE, MacPhail AP, Lamparelli RD and Mayet F (1988). Inhibitory effect of nuts on iron absorption. Am J Clin Nutr 47:270-4.</w:t>
      </w:r>
    </w:p>
    <w:p w14:paraId="573DFC76" w14:textId="77777777" w:rsidR="000B5307" w:rsidRPr="00434DA1" w:rsidRDefault="000B5307" w:rsidP="004A26DB">
      <w:pPr>
        <w:rPr>
          <w:szCs w:val="22"/>
          <w:lang w:bidi="ar-SA"/>
        </w:rPr>
      </w:pPr>
    </w:p>
    <w:p w14:paraId="03AD04CE" w14:textId="6083C8A3" w:rsidR="00F11080" w:rsidRDefault="00F11080" w:rsidP="00F87743">
      <w:pPr>
        <w:rPr>
          <w:szCs w:val="22"/>
          <w:lang w:bidi="ar-SA"/>
        </w:rPr>
      </w:pPr>
      <w:r>
        <w:rPr>
          <w:szCs w:val="22"/>
          <w:lang w:bidi="ar-SA"/>
        </w:rPr>
        <w:t>Man</w:t>
      </w:r>
      <w:r w:rsidRPr="00F11080">
        <w:rPr>
          <w:szCs w:val="22"/>
          <w:lang w:bidi="ar-SA"/>
        </w:rPr>
        <w:t>sour E, Dworschak E, Lugasi A, Gaal O, Barna E and Gergely A (1993). Effect of processing on the antinutritive factors and nutritive value of rapeseed products. Food Chemistry 47(3):247-252</w:t>
      </w:r>
      <w:r w:rsidR="00504013">
        <w:rPr>
          <w:szCs w:val="22"/>
          <w:lang w:bidi="ar-SA"/>
        </w:rPr>
        <w:t>.</w:t>
      </w:r>
    </w:p>
    <w:p w14:paraId="4983D373" w14:textId="77777777" w:rsidR="00F11080" w:rsidRDefault="00F11080" w:rsidP="00F87743">
      <w:pPr>
        <w:rPr>
          <w:szCs w:val="22"/>
          <w:lang w:bidi="ar-SA"/>
        </w:rPr>
      </w:pPr>
    </w:p>
    <w:p w14:paraId="723C1533" w14:textId="5CD59A6E" w:rsidR="00F87743" w:rsidRDefault="00F87743" w:rsidP="00F87743">
      <w:pPr>
        <w:rPr>
          <w:lang w:bidi="ar-SA"/>
        </w:rPr>
      </w:pPr>
      <w:r w:rsidRPr="00434DA1">
        <w:rPr>
          <w:szCs w:val="22"/>
          <w:lang w:bidi="ar-SA"/>
        </w:rPr>
        <w:t>Mejia</w:t>
      </w:r>
      <w:r w:rsidRPr="00434DA1">
        <w:rPr>
          <w:lang w:bidi="ar-SA"/>
        </w:rPr>
        <w:t xml:space="preserve"> </w:t>
      </w:r>
      <w:r>
        <w:rPr>
          <w:lang w:bidi="ar-SA"/>
        </w:rPr>
        <w:t>LA, Korgaonkar CK, Schweizer M, Chengelis C, Marit G, Ziemer E, Grabiel R and Empie M (2009a). A 13-week sub-chronic dietary toxicity study of a cruciferin-rich canola protein isolate in rats. Food and Chemical Toxicology 47:2645-54.</w:t>
      </w:r>
    </w:p>
    <w:p w14:paraId="3C89AF89" w14:textId="77777777" w:rsidR="00F87743" w:rsidRDefault="00F87743" w:rsidP="004A26DB">
      <w:pPr>
        <w:rPr>
          <w:lang w:bidi="ar-SA"/>
        </w:rPr>
      </w:pPr>
    </w:p>
    <w:p w14:paraId="60A10D1A" w14:textId="2F1914FE" w:rsidR="00F87743" w:rsidRDefault="00F87743" w:rsidP="004A26DB">
      <w:pPr>
        <w:rPr>
          <w:lang w:bidi="ar-SA"/>
        </w:rPr>
      </w:pPr>
      <w:r>
        <w:rPr>
          <w:lang w:bidi="ar-SA"/>
        </w:rPr>
        <w:t>Mejia LA, Korgaonkar CK, Schweizer M, Chengelis C, Novilla M, Ziemer E, Williamson-Hughes PS, Grabiel R and Empie M (2009b). A 13-week dietary toxicity study in rats of a napin-rich canola protein isolate. Regulatory Toxicology and Pharmacology 55:394-402.</w:t>
      </w:r>
    </w:p>
    <w:p w14:paraId="70471409" w14:textId="416968D3" w:rsidR="00C90567" w:rsidRDefault="00C90567" w:rsidP="004A26DB">
      <w:pPr>
        <w:rPr>
          <w:lang w:bidi="ar-SA"/>
        </w:rPr>
      </w:pPr>
    </w:p>
    <w:p w14:paraId="297A35A5" w14:textId="2847859B" w:rsidR="007D5802" w:rsidRPr="007D5802" w:rsidRDefault="007D5802" w:rsidP="007D5802">
      <w:pPr>
        <w:widowControl/>
        <w:spacing w:after="240"/>
        <w:rPr>
          <w:rFonts w:eastAsia="Calibri" w:cs="Arial"/>
          <w:szCs w:val="22"/>
          <w:lang w:bidi="ar-SA"/>
        </w:rPr>
      </w:pPr>
      <w:r w:rsidRPr="007D5802">
        <w:rPr>
          <w:rFonts w:eastAsia="Calibri" w:cs="Arial"/>
          <w:szCs w:val="22"/>
          <w:lang w:bidi="ar-SA"/>
        </w:rPr>
        <w:t>Ministry of Health (2003) NZ Food NZ Children: Key results of the 2002 National Children's Nutrition Survey. Ministry of Health, Wellington</w:t>
      </w:r>
      <w:r w:rsidR="00504013">
        <w:rPr>
          <w:rFonts w:eastAsia="Calibri" w:cs="Arial"/>
          <w:szCs w:val="22"/>
          <w:lang w:bidi="ar-SA"/>
        </w:rPr>
        <w:t>.</w:t>
      </w:r>
    </w:p>
    <w:p w14:paraId="5068B4B6" w14:textId="1D3F5E12" w:rsidR="007D5802" w:rsidRPr="007D5802" w:rsidRDefault="007D5802" w:rsidP="007D5802">
      <w:pPr>
        <w:widowControl/>
        <w:spacing w:after="240"/>
        <w:rPr>
          <w:rFonts w:eastAsia="Calibri" w:cs="Arial"/>
          <w:szCs w:val="22"/>
          <w:lang w:bidi="ar-SA"/>
        </w:rPr>
      </w:pPr>
      <w:r w:rsidRPr="007D5802">
        <w:rPr>
          <w:rFonts w:eastAsia="Calibri" w:cs="Arial"/>
          <w:szCs w:val="22"/>
          <w:lang w:bidi="ar-SA"/>
        </w:rPr>
        <w:t>Ministry of Health (2005) 2002 National Children's Nutrition Survey: National Confidentialised Unit Record File (CURF) User Document. Ministry of Health, Wellington</w:t>
      </w:r>
      <w:r w:rsidR="00504013">
        <w:rPr>
          <w:rFonts w:eastAsia="Calibri" w:cs="Arial"/>
          <w:szCs w:val="22"/>
          <w:lang w:bidi="ar-SA"/>
        </w:rPr>
        <w:t>.</w:t>
      </w:r>
    </w:p>
    <w:p w14:paraId="5BE985AE" w14:textId="23320B5B" w:rsidR="007D5802" w:rsidRPr="007D5802" w:rsidRDefault="007D5802" w:rsidP="007D5802">
      <w:pPr>
        <w:widowControl/>
        <w:spacing w:after="240"/>
        <w:rPr>
          <w:rFonts w:eastAsia="Calibri" w:cs="Arial"/>
          <w:szCs w:val="22"/>
          <w:lang w:bidi="ar-SA"/>
        </w:rPr>
      </w:pPr>
      <w:r w:rsidRPr="007D5802">
        <w:rPr>
          <w:rFonts w:eastAsia="Calibri" w:cs="Arial"/>
          <w:szCs w:val="22"/>
          <w:lang w:bidi="ar-SA"/>
        </w:rPr>
        <w:t>Ministry of Health (2011a) Methodology report for the 2008/09 New Zealand Adult Nutrition Survey. Ministry of Health, Wellington</w:t>
      </w:r>
      <w:r w:rsidR="00504013">
        <w:rPr>
          <w:rFonts w:eastAsia="Calibri" w:cs="Arial"/>
          <w:szCs w:val="22"/>
          <w:lang w:bidi="ar-SA"/>
        </w:rPr>
        <w:t>.</w:t>
      </w:r>
    </w:p>
    <w:p w14:paraId="28BA3CB4" w14:textId="69057003" w:rsidR="007D5802" w:rsidRPr="007D5802" w:rsidRDefault="007D5802" w:rsidP="007D5802">
      <w:pPr>
        <w:widowControl/>
        <w:spacing w:after="240"/>
        <w:rPr>
          <w:rFonts w:eastAsia="Calibri" w:cs="Arial"/>
          <w:szCs w:val="22"/>
          <w:lang w:bidi="ar-SA"/>
        </w:rPr>
      </w:pPr>
      <w:r w:rsidRPr="007D5802">
        <w:rPr>
          <w:rFonts w:eastAsia="Calibri" w:cs="Arial"/>
          <w:szCs w:val="22"/>
          <w:lang w:bidi="ar-SA"/>
        </w:rPr>
        <w:t>Ministry of Health (2011b) A focus on nutrition: Key findings of the 2008/09 New Zealand Adult Nutrition Survey. Ministry of Health, Wellington</w:t>
      </w:r>
      <w:r w:rsidR="00504013">
        <w:rPr>
          <w:rFonts w:eastAsia="Calibri" w:cs="Arial"/>
          <w:szCs w:val="22"/>
          <w:lang w:bidi="ar-SA"/>
        </w:rPr>
        <w:t>.</w:t>
      </w:r>
    </w:p>
    <w:p w14:paraId="454DAFF9" w14:textId="77777777" w:rsidR="00C90567" w:rsidRPr="0024208A" w:rsidRDefault="00C90567" w:rsidP="00C90567">
      <w:pPr>
        <w:rPr>
          <w:lang w:val="en"/>
        </w:rPr>
      </w:pPr>
      <w:r w:rsidRPr="0024208A">
        <w:rPr>
          <w:lang w:val="en"/>
        </w:rPr>
        <w:t xml:space="preserve">Monreal P, Botey J, Pena M, Marin A, Eseverri JL (1992) Mustard allergy. Two anaphylactic reactions to ingestion of mustard sauce. </w:t>
      </w:r>
      <w:r w:rsidRPr="0024208A">
        <w:rPr>
          <w:iCs/>
          <w:lang w:val="en"/>
        </w:rPr>
        <w:t>Ann Allergy</w:t>
      </w:r>
      <w:r w:rsidRPr="0024208A">
        <w:rPr>
          <w:lang w:val="en"/>
        </w:rPr>
        <w:t xml:space="preserve"> 69(4):317</w:t>
      </w:r>
      <w:r w:rsidRPr="0024208A">
        <w:rPr>
          <w:rFonts w:ascii="Cambria Math" w:hAnsi="Cambria Math" w:cs="Cambria Math"/>
          <w:lang w:val="en"/>
        </w:rPr>
        <w:t>‐</w:t>
      </w:r>
      <w:r w:rsidRPr="0024208A">
        <w:rPr>
          <w:lang w:val="en"/>
        </w:rPr>
        <w:t>320.</w:t>
      </w:r>
    </w:p>
    <w:p w14:paraId="6AE7C967" w14:textId="308ADC98" w:rsidR="00273315" w:rsidRPr="0024208A" w:rsidRDefault="00273315" w:rsidP="004A26DB">
      <w:pPr>
        <w:rPr>
          <w:lang w:bidi="ar-SA"/>
        </w:rPr>
      </w:pPr>
    </w:p>
    <w:p w14:paraId="17CF0148" w14:textId="0B9E3D30" w:rsidR="0077677D" w:rsidRPr="0024208A" w:rsidRDefault="0077677D" w:rsidP="0077677D">
      <w:r w:rsidRPr="0024208A">
        <w:t>Monsalve RI, Gonzalez de la Peña MA, Menendez-Arias L, C Lopez-Otin C, Villalba M, Rodriguez R (1993). Characterization of a new Oriental-mustard (</w:t>
      </w:r>
      <w:r w:rsidRPr="0024208A">
        <w:rPr>
          <w:i/>
        </w:rPr>
        <w:t>Brassica juncea</w:t>
      </w:r>
      <w:r w:rsidRPr="0024208A">
        <w:t>) allergen, Bra J IE: detection of an allergenic epitope. Biochem J 293:625-6</w:t>
      </w:r>
      <w:r w:rsidR="00504013" w:rsidRPr="0024208A">
        <w:t>32.</w:t>
      </w:r>
    </w:p>
    <w:p w14:paraId="2C36A311" w14:textId="77777777" w:rsidR="0077677D" w:rsidRPr="0024208A" w:rsidRDefault="0077677D" w:rsidP="00273315"/>
    <w:p w14:paraId="122322E3" w14:textId="67B58D54" w:rsidR="00273315" w:rsidRPr="0024208A" w:rsidRDefault="00273315" w:rsidP="00273315">
      <w:r w:rsidRPr="0024208A">
        <w:t xml:space="preserve">Monsalve RI, </w:t>
      </w:r>
      <w:r w:rsidR="0077677D" w:rsidRPr="0024208A">
        <w:t>Gonzalez de la Peña MA</w:t>
      </w:r>
      <w:r w:rsidRPr="0024208A">
        <w:t xml:space="preserve">, Lopezotiin C, Fiandor A, Fernandez C, Villalba M, Rodriguez R (1997). Detection, isolation and complete amino acid sequence of an aeroallergenic protein from rapeseed flour. </w:t>
      </w:r>
      <w:r w:rsidRPr="0024208A">
        <w:rPr>
          <w:iCs/>
        </w:rPr>
        <w:t>Clinical &amp; Experimental Allergy</w:t>
      </w:r>
      <w:r w:rsidRPr="0024208A">
        <w:t xml:space="preserve"> </w:t>
      </w:r>
      <w:r w:rsidRPr="0024208A">
        <w:rPr>
          <w:iCs/>
        </w:rPr>
        <w:t>27</w:t>
      </w:r>
      <w:r w:rsidRPr="0024208A">
        <w:t>(7):833-841.</w:t>
      </w:r>
    </w:p>
    <w:p w14:paraId="7F42EDD5" w14:textId="1A2C7D62" w:rsidR="008D6E2B" w:rsidRPr="0024208A" w:rsidRDefault="008D6E2B" w:rsidP="00273315"/>
    <w:p w14:paraId="58BDB73D" w14:textId="77777777" w:rsidR="008D6E2B" w:rsidRPr="0024208A" w:rsidRDefault="008D6E2B" w:rsidP="008D6E2B">
      <w:r w:rsidRPr="0024208A">
        <w:t>Morisset M, Moneret</w:t>
      </w:r>
      <w:r w:rsidRPr="0024208A">
        <w:rPr>
          <w:rFonts w:ascii="Cambria Math" w:hAnsi="Cambria Math" w:cs="Cambria Math"/>
        </w:rPr>
        <w:t>‐</w:t>
      </w:r>
      <w:r w:rsidRPr="0024208A">
        <w:t>Vautrin DA, Maadi F, Fremont S, Guenard L, Croizier A, Kanny G (2003). Prospective study of mustard allergy: first study with double</w:t>
      </w:r>
      <w:r w:rsidRPr="0024208A">
        <w:rPr>
          <w:rFonts w:ascii="Cambria Math" w:hAnsi="Cambria Math" w:cs="Cambria Math"/>
        </w:rPr>
        <w:t>‐</w:t>
      </w:r>
      <w:r w:rsidRPr="0024208A">
        <w:t>blind placebo</w:t>
      </w:r>
      <w:r w:rsidRPr="0024208A">
        <w:rPr>
          <w:rFonts w:ascii="Cambria Math" w:hAnsi="Cambria Math" w:cs="Cambria Math"/>
        </w:rPr>
        <w:t>‐</w:t>
      </w:r>
      <w:r w:rsidRPr="0024208A">
        <w:t xml:space="preserve">controlled food challenge trials (24 cases). </w:t>
      </w:r>
      <w:r w:rsidRPr="0024208A">
        <w:rPr>
          <w:iCs/>
        </w:rPr>
        <w:t>Allergy</w:t>
      </w:r>
      <w:r w:rsidRPr="0024208A">
        <w:t xml:space="preserve"> </w:t>
      </w:r>
      <w:r w:rsidRPr="0024208A">
        <w:rPr>
          <w:iCs/>
        </w:rPr>
        <w:t>58</w:t>
      </w:r>
      <w:r w:rsidRPr="0024208A">
        <w:t>(4): 295-299.</w:t>
      </w:r>
    </w:p>
    <w:p w14:paraId="5889064C" w14:textId="77777777" w:rsidR="00B439BF" w:rsidRPr="0024208A" w:rsidRDefault="00B439BF" w:rsidP="008D6E2B"/>
    <w:p w14:paraId="50D0C454" w14:textId="01CA5ABF" w:rsidR="0005626E" w:rsidRPr="0005626E" w:rsidRDefault="0005626E" w:rsidP="0005626E">
      <w:pPr>
        <w:rPr>
          <w:rFonts w:cs="Arial"/>
          <w:szCs w:val="22"/>
        </w:rPr>
      </w:pPr>
      <w:r w:rsidRPr="0005626E">
        <w:rPr>
          <w:rFonts w:cs="Arial"/>
          <w:szCs w:val="22"/>
        </w:rPr>
        <w:t>Naczk</w:t>
      </w:r>
      <w:r>
        <w:rPr>
          <w:rFonts w:cs="Arial"/>
          <w:szCs w:val="22"/>
        </w:rPr>
        <w:t xml:space="preserve"> M</w:t>
      </w:r>
      <w:r w:rsidRPr="0005626E">
        <w:rPr>
          <w:rFonts w:cs="Arial"/>
          <w:szCs w:val="22"/>
        </w:rPr>
        <w:t>, Rubin</w:t>
      </w:r>
      <w:r>
        <w:rPr>
          <w:rFonts w:cs="Arial"/>
          <w:szCs w:val="22"/>
        </w:rPr>
        <w:t xml:space="preserve"> LJ</w:t>
      </w:r>
      <w:r w:rsidRPr="0005626E">
        <w:rPr>
          <w:rFonts w:cs="Arial"/>
          <w:szCs w:val="22"/>
        </w:rPr>
        <w:t xml:space="preserve"> and Shahidi </w:t>
      </w:r>
      <w:r>
        <w:rPr>
          <w:rFonts w:cs="Arial"/>
          <w:szCs w:val="22"/>
        </w:rPr>
        <w:t xml:space="preserve">F </w:t>
      </w:r>
      <w:r w:rsidRPr="0005626E">
        <w:rPr>
          <w:rFonts w:cs="Arial"/>
          <w:szCs w:val="22"/>
        </w:rPr>
        <w:t>(1986)</w:t>
      </w:r>
      <w:r>
        <w:rPr>
          <w:rFonts w:cs="Arial"/>
          <w:szCs w:val="22"/>
        </w:rPr>
        <w:t>.</w:t>
      </w:r>
      <w:r w:rsidRPr="0005626E">
        <w:rPr>
          <w:rFonts w:cs="Arial"/>
          <w:szCs w:val="22"/>
        </w:rPr>
        <w:t xml:space="preserve"> Functional properties and phytate content of</w:t>
      </w:r>
    </w:p>
    <w:p w14:paraId="7408B0F1" w14:textId="77777777" w:rsidR="0005626E" w:rsidRPr="0005626E" w:rsidRDefault="0005626E" w:rsidP="0005626E">
      <w:pPr>
        <w:rPr>
          <w:rFonts w:cs="Arial"/>
          <w:szCs w:val="22"/>
        </w:rPr>
      </w:pPr>
      <w:r w:rsidRPr="0005626E">
        <w:rPr>
          <w:rFonts w:cs="Arial"/>
          <w:szCs w:val="22"/>
        </w:rPr>
        <w:t xml:space="preserve">pea protein preparations. </w:t>
      </w:r>
      <w:r w:rsidRPr="0005626E">
        <w:rPr>
          <w:rFonts w:cs="Arial"/>
          <w:iCs/>
          <w:szCs w:val="22"/>
        </w:rPr>
        <w:t xml:space="preserve">J Food Sci </w:t>
      </w:r>
      <w:r w:rsidRPr="0005626E">
        <w:rPr>
          <w:rFonts w:cs="Arial"/>
          <w:szCs w:val="22"/>
        </w:rPr>
        <w:t>51:1235-1237</w:t>
      </w:r>
      <w:r>
        <w:rPr>
          <w:rFonts w:cs="Arial"/>
          <w:szCs w:val="22"/>
        </w:rPr>
        <w:t>.</w:t>
      </w:r>
    </w:p>
    <w:p w14:paraId="4858A7E4" w14:textId="77777777" w:rsidR="0005626E" w:rsidRDefault="0005626E" w:rsidP="004A26DB">
      <w:pPr>
        <w:rPr>
          <w:lang w:bidi="ar-SA"/>
        </w:rPr>
      </w:pPr>
    </w:p>
    <w:p w14:paraId="29D86690" w14:textId="44F55AE0" w:rsidR="000254A3" w:rsidRDefault="00A379F8" w:rsidP="00C85984">
      <w:pPr>
        <w:rPr>
          <w:lang w:bidi="ar-SA"/>
        </w:rPr>
      </w:pPr>
      <w:r w:rsidRPr="00A379F8">
        <w:rPr>
          <w:lang w:bidi="ar-SA"/>
        </w:rPr>
        <w:t>OECD (2011)</w:t>
      </w:r>
      <w:r w:rsidR="00C64B89">
        <w:rPr>
          <w:lang w:bidi="ar-SA"/>
        </w:rPr>
        <w:t>.</w:t>
      </w:r>
      <w:r w:rsidRPr="00A379F8">
        <w:rPr>
          <w:lang w:bidi="ar-SA"/>
        </w:rPr>
        <w:t xml:space="preserve"> Revised consensus document on compositional considerations for new varieties of low erucic acid rapeseed (canola): key food and feed nutrients, anti-nutrients and toxicants. ENV/JM/MONO(2011)55. Organization for Economic Co-operation and Development, Paris.</w:t>
      </w:r>
    </w:p>
    <w:p w14:paraId="141F115B" w14:textId="1CE8F506" w:rsidR="00A062C7" w:rsidRPr="0024208A" w:rsidRDefault="00A062C7" w:rsidP="00A062C7"/>
    <w:p w14:paraId="29F575C1" w14:textId="35CB3CE7" w:rsidR="00A062C7" w:rsidRPr="0024208A" w:rsidRDefault="00A062C7" w:rsidP="00A062C7">
      <w:r w:rsidRPr="0024208A">
        <w:t>Palacín A, Cumplido J, Figueroa J, Ahrazem O, Sánchez-Monge R, Carrillo T, Salcedo G, Blanco C (2006). Cabbage lipid transfer protein Bra O 3 is a major allergen responsible for cross-reactivity between plant foods and pollens. J Allergy Clin Immunol 117(6):1423-142</w:t>
      </w:r>
      <w:r w:rsidR="00504013" w:rsidRPr="0024208A">
        <w:t>9.</w:t>
      </w:r>
    </w:p>
    <w:p w14:paraId="620FA335" w14:textId="77777777" w:rsidR="00A062C7" w:rsidRPr="0024208A" w:rsidRDefault="00A062C7" w:rsidP="00ED3233"/>
    <w:p w14:paraId="40879E6B" w14:textId="44FAE5FD" w:rsidR="00ED3233" w:rsidRPr="0024208A" w:rsidRDefault="00ED3233" w:rsidP="00ED3233">
      <w:r w:rsidRPr="0024208A">
        <w:t xml:space="preserve">Palomares O, Monsalve RI, Rodríguez R, Villalba M (2002). Recombinant pronapin precursor produced in </w:t>
      </w:r>
      <w:r w:rsidRPr="0024208A">
        <w:rPr>
          <w:i/>
        </w:rPr>
        <w:t>Pichia pastoris</w:t>
      </w:r>
      <w:r w:rsidRPr="0024208A">
        <w:t xml:space="preserve"> displays structural and immunologic equivalent properties to its mature product isolated from rapeseed. </w:t>
      </w:r>
      <w:r w:rsidRPr="0024208A">
        <w:rPr>
          <w:iCs/>
        </w:rPr>
        <w:t xml:space="preserve">European </w:t>
      </w:r>
      <w:r w:rsidR="006F6235" w:rsidRPr="0024208A">
        <w:rPr>
          <w:iCs/>
        </w:rPr>
        <w:t>J</w:t>
      </w:r>
      <w:r w:rsidRPr="0024208A">
        <w:rPr>
          <w:iCs/>
        </w:rPr>
        <w:t xml:space="preserve">ournal of </w:t>
      </w:r>
      <w:r w:rsidR="006F6235" w:rsidRPr="0024208A">
        <w:rPr>
          <w:iCs/>
        </w:rPr>
        <w:t>B</w:t>
      </w:r>
      <w:r w:rsidRPr="0024208A">
        <w:rPr>
          <w:iCs/>
        </w:rPr>
        <w:t>iochemistry</w:t>
      </w:r>
      <w:r w:rsidRPr="0024208A">
        <w:t xml:space="preserve"> </w:t>
      </w:r>
      <w:r w:rsidRPr="0024208A">
        <w:rPr>
          <w:iCs/>
        </w:rPr>
        <w:t>269</w:t>
      </w:r>
      <w:r w:rsidRPr="0024208A">
        <w:t>(10): 2538-2545.</w:t>
      </w:r>
    </w:p>
    <w:p w14:paraId="4F0E09DE" w14:textId="77777777" w:rsidR="000254A3" w:rsidRPr="0024208A" w:rsidRDefault="000254A3" w:rsidP="00C85984">
      <w:pPr>
        <w:rPr>
          <w:lang w:bidi="ar-SA"/>
        </w:rPr>
      </w:pPr>
    </w:p>
    <w:p w14:paraId="45B2508C" w14:textId="4DA55BB8" w:rsidR="0038753D" w:rsidRPr="0024208A" w:rsidDel="00136CD8" w:rsidRDefault="0039437D" w:rsidP="00C85984">
      <w:r w:rsidRPr="0024208A">
        <w:rPr>
          <w:lang w:bidi="ar-SA"/>
        </w:rPr>
        <w:t>Pereira FMV, Rosa E, Fahey JW, Stephenson KK, et al. (2002). Influence of temperature and ontogeny on the levels of glucosinolates in broccoli (</w:t>
      </w:r>
      <w:r w:rsidRPr="0024208A">
        <w:rPr>
          <w:i/>
          <w:lang w:bidi="ar-SA"/>
        </w:rPr>
        <w:t>Brassica oleracea</w:t>
      </w:r>
      <w:r w:rsidRPr="0024208A">
        <w:rPr>
          <w:lang w:bidi="ar-SA"/>
        </w:rPr>
        <w:t xml:space="preserve"> Var. italica) sprouts and their effect on the induction of mammalian phase 2 enzymes, J. Agric. Food Chem. 50: 6239–6244.</w:t>
      </w:r>
    </w:p>
    <w:p w14:paraId="2508859A" w14:textId="77777777" w:rsidR="0038753D" w:rsidRPr="0024208A" w:rsidDel="00136CD8" w:rsidRDefault="0038753D" w:rsidP="00C85984"/>
    <w:p w14:paraId="289FD9A3" w14:textId="3C22C7FB" w:rsidR="00C85984" w:rsidRDefault="00C85984" w:rsidP="004A26DB">
      <w:pPr>
        <w:rPr>
          <w:color w:val="000000" w:themeColor="text1"/>
        </w:rPr>
      </w:pPr>
      <w:r w:rsidRPr="008F11F5">
        <w:t>Podolak R, Enache E, Stone W, Black DG, Elliott PH (2010)</w:t>
      </w:r>
      <w:r w:rsidR="00CE6196">
        <w:t>.</w:t>
      </w:r>
      <w:r w:rsidRPr="008F11F5">
        <w:t xml:space="preserve"> Sources and risk factors for</w:t>
      </w:r>
      <w:r w:rsidR="007071B7">
        <w:t xml:space="preserve"> </w:t>
      </w:r>
      <w:r w:rsidRPr="008F11F5">
        <w:t xml:space="preserve">contamination, survival, persistence, and heat resistance of </w:t>
      </w:r>
      <w:r w:rsidRPr="00C85984">
        <w:rPr>
          <w:i/>
        </w:rPr>
        <w:t>Salmonella</w:t>
      </w:r>
      <w:r w:rsidRPr="008F11F5">
        <w:t xml:space="preserve"> in low-moisture</w:t>
      </w:r>
      <w:r w:rsidR="007071B7">
        <w:t xml:space="preserve"> </w:t>
      </w:r>
      <w:r>
        <w:t xml:space="preserve">foods. J Food Protect </w:t>
      </w:r>
      <w:r w:rsidRPr="008F11F5">
        <w:t>73(10):1919–1936</w:t>
      </w:r>
      <w:r>
        <w:rPr>
          <w:color w:val="000000" w:themeColor="text1"/>
        </w:rPr>
        <w:t>.</w:t>
      </w:r>
    </w:p>
    <w:p w14:paraId="0E34F334" w14:textId="7B73D3AB" w:rsidR="00C85984" w:rsidRPr="00504013" w:rsidRDefault="00C85984" w:rsidP="004A26DB"/>
    <w:p w14:paraId="258C3CC3" w14:textId="1433E12B" w:rsidR="00C90567" w:rsidRPr="00504013" w:rsidRDefault="00C90567" w:rsidP="004A26DB">
      <w:r w:rsidRPr="00504013">
        <w:t xml:space="preserve">Poikonen S, Puumalainen TJ, Kautiainen H, Burri P, Palosuo T, Reunala T, Turjanmaa K (2006). Turnip rape and oilseed rape are new potential food allergens in children with atopic dermatitis. </w:t>
      </w:r>
      <w:r w:rsidRPr="00504013">
        <w:rPr>
          <w:iCs/>
        </w:rPr>
        <w:t>Allergy</w:t>
      </w:r>
      <w:r w:rsidRPr="00504013">
        <w:t xml:space="preserve"> </w:t>
      </w:r>
      <w:r w:rsidRPr="00504013">
        <w:rPr>
          <w:iCs/>
        </w:rPr>
        <w:t>61</w:t>
      </w:r>
      <w:r w:rsidRPr="00504013">
        <w:t>(1):124-127</w:t>
      </w:r>
      <w:r w:rsidR="00504013" w:rsidRPr="00504013">
        <w:t>.</w:t>
      </w:r>
    </w:p>
    <w:p w14:paraId="79F93CE2" w14:textId="77777777" w:rsidR="00C90567" w:rsidRPr="00504013" w:rsidRDefault="00C90567" w:rsidP="004A26DB"/>
    <w:p w14:paraId="3D8FA0BF" w14:textId="7C415507" w:rsidR="00273315" w:rsidRPr="00504013" w:rsidRDefault="00273315" w:rsidP="00273315">
      <w:r w:rsidRPr="00504013">
        <w:t>Poikonen S, Puumalainen TJ, Kautiainen H, Palosuo T, Reunala T, Turjanmaa K (2008). Sensitization to turnip rape and oilseed rape in children with atopic dermatitis: a case</w:t>
      </w:r>
      <w:r w:rsidRPr="00504013">
        <w:rPr>
          <w:rFonts w:ascii="Cambria Math" w:hAnsi="Cambria Math" w:cs="Cambria Math"/>
        </w:rPr>
        <w:t>‐</w:t>
      </w:r>
      <w:r w:rsidRPr="00504013">
        <w:t xml:space="preserve">control study. </w:t>
      </w:r>
      <w:r w:rsidR="00B824F8" w:rsidRPr="00504013">
        <w:rPr>
          <w:iCs/>
        </w:rPr>
        <w:t>Pediatric Allergy and I</w:t>
      </w:r>
      <w:r w:rsidRPr="00504013">
        <w:rPr>
          <w:iCs/>
        </w:rPr>
        <w:t>mmunology</w:t>
      </w:r>
      <w:r w:rsidRPr="00504013">
        <w:t xml:space="preserve"> </w:t>
      </w:r>
      <w:r w:rsidRPr="00504013">
        <w:rPr>
          <w:iCs/>
        </w:rPr>
        <w:t>19</w:t>
      </w:r>
      <w:r w:rsidRPr="00504013">
        <w:t>(5):408-411.</w:t>
      </w:r>
    </w:p>
    <w:p w14:paraId="5071784F" w14:textId="77777777" w:rsidR="00121448" w:rsidRPr="00504013" w:rsidRDefault="00121448" w:rsidP="00273315"/>
    <w:p w14:paraId="41E4927B" w14:textId="77777777" w:rsidR="00121448" w:rsidRPr="00504013" w:rsidRDefault="00121448" w:rsidP="00121448">
      <w:r w:rsidRPr="00504013">
        <w:t xml:space="preserve">Poikonen S, Rance F, Puumalainen TJ, Le Manach G, Reunala T, Turjanmaa K (2009). Sensitization and allergy to turnip rape: a comparison between the Finnish and French children with atopic dermatitis. </w:t>
      </w:r>
      <w:r w:rsidRPr="00504013">
        <w:rPr>
          <w:iCs/>
        </w:rPr>
        <w:t>Acta Paediatrica</w:t>
      </w:r>
      <w:r w:rsidRPr="00504013">
        <w:t xml:space="preserve"> </w:t>
      </w:r>
      <w:r w:rsidRPr="00504013">
        <w:rPr>
          <w:iCs/>
        </w:rPr>
        <w:t>98</w:t>
      </w:r>
      <w:r w:rsidRPr="00504013">
        <w:t>(2):310-315.</w:t>
      </w:r>
    </w:p>
    <w:p w14:paraId="1224D9DC" w14:textId="77777777" w:rsidR="00273315" w:rsidRPr="00504013" w:rsidRDefault="00273315" w:rsidP="004A26DB"/>
    <w:p w14:paraId="5B66E07D" w14:textId="0EE51EE9" w:rsidR="0036057F" w:rsidRDefault="0036057F" w:rsidP="004A26DB">
      <w:pPr>
        <w:rPr>
          <w:color w:val="000000" w:themeColor="text1"/>
        </w:rPr>
      </w:pPr>
      <w:r>
        <w:rPr>
          <w:color w:val="000000" w:themeColor="text1"/>
        </w:rPr>
        <w:t>Prynne CJ, McCarron A, Wadsworth MEJ and Stephen AM (2010). Dietary fibre and phytate; a balancing act: results from three time points in a British Birth Cohort. Brit J Nutr 103:274-80.</w:t>
      </w:r>
    </w:p>
    <w:p w14:paraId="06DF7750" w14:textId="31424005" w:rsidR="006123D5" w:rsidRDefault="006123D5" w:rsidP="004A26DB">
      <w:pPr>
        <w:rPr>
          <w:color w:val="000000" w:themeColor="text1"/>
        </w:rPr>
      </w:pPr>
    </w:p>
    <w:p w14:paraId="4F63629E" w14:textId="59588533" w:rsidR="006123D5" w:rsidRPr="006123D5" w:rsidRDefault="006123D5" w:rsidP="006123D5">
      <w:pPr>
        <w:rPr>
          <w:color w:val="000000" w:themeColor="text1"/>
        </w:rPr>
      </w:pPr>
      <w:r>
        <w:rPr>
          <w:color w:val="000000" w:themeColor="text1"/>
        </w:rPr>
        <w:t xml:space="preserve">Puumalainen TJ, </w:t>
      </w:r>
      <w:r w:rsidRPr="006123D5">
        <w:rPr>
          <w:color w:val="000000" w:themeColor="text1"/>
        </w:rPr>
        <w:t>Poikonen</w:t>
      </w:r>
      <w:r>
        <w:rPr>
          <w:color w:val="000000" w:themeColor="text1"/>
        </w:rPr>
        <w:t xml:space="preserve"> S, </w:t>
      </w:r>
      <w:r w:rsidRPr="006123D5">
        <w:rPr>
          <w:color w:val="000000" w:themeColor="text1"/>
        </w:rPr>
        <w:t>Kotovuori</w:t>
      </w:r>
      <w:r>
        <w:rPr>
          <w:color w:val="000000" w:themeColor="text1"/>
        </w:rPr>
        <w:t xml:space="preserve"> A, </w:t>
      </w:r>
      <w:r w:rsidRPr="006123D5">
        <w:rPr>
          <w:color w:val="000000" w:themeColor="text1"/>
        </w:rPr>
        <w:t>Vaali</w:t>
      </w:r>
      <w:r>
        <w:rPr>
          <w:color w:val="000000" w:themeColor="text1"/>
        </w:rPr>
        <w:t xml:space="preserve"> K, </w:t>
      </w:r>
      <w:r w:rsidRPr="006123D5">
        <w:rPr>
          <w:color w:val="000000" w:themeColor="text1"/>
        </w:rPr>
        <w:t>Kalkkinen</w:t>
      </w:r>
      <w:r>
        <w:rPr>
          <w:color w:val="000000" w:themeColor="text1"/>
        </w:rPr>
        <w:t xml:space="preserve"> N, </w:t>
      </w:r>
      <w:r w:rsidRPr="006123D5">
        <w:rPr>
          <w:color w:val="000000" w:themeColor="text1"/>
        </w:rPr>
        <w:t>Reunala</w:t>
      </w:r>
      <w:r>
        <w:rPr>
          <w:color w:val="000000" w:themeColor="text1"/>
        </w:rPr>
        <w:t xml:space="preserve"> T</w:t>
      </w:r>
      <w:r w:rsidRPr="006123D5">
        <w:rPr>
          <w:color w:val="000000" w:themeColor="text1"/>
        </w:rPr>
        <w:t>, Kristiina Turjanmaa</w:t>
      </w:r>
      <w:r>
        <w:rPr>
          <w:color w:val="000000" w:themeColor="text1"/>
        </w:rPr>
        <w:t xml:space="preserve"> K, </w:t>
      </w:r>
      <w:r w:rsidRPr="006123D5">
        <w:rPr>
          <w:color w:val="000000" w:themeColor="text1"/>
        </w:rPr>
        <w:t>Palosuo</w:t>
      </w:r>
      <w:r>
        <w:rPr>
          <w:color w:val="000000" w:themeColor="text1"/>
        </w:rPr>
        <w:t xml:space="preserve"> T (2006). Napins, 2S albumins, are major allergens in oilseed rape and turnip rape. </w:t>
      </w:r>
      <w:r w:rsidRPr="006123D5">
        <w:rPr>
          <w:color w:val="000000" w:themeColor="text1"/>
        </w:rPr>
        <w:t>J Allergy Clin Immunol 117(2):426-</w:t>
      </w:r>
      <w:r>
        <w:rPr>
          <w:color w:val="000000" w:themeColor="text1"/>
        </w:rPr>
        <w:t>4</w:t>
      </w:r>
      <w:r w:rsidR="0024208A">
        <w:rPr>
          <w:color w:val="000000" w:themeColor="text1"/>
        </w:rPr>
        <w:t>32.</w:t>
      </w:r>
    </w:p>
    <w:p w14:paraId="03313DFD" w14:textId="77777777" w:rsidR="00C90567" w:rsidRDefault="00C90567" w:rsidP="004A26DB">
      <w:pPr>
        <w:rPr>
          <w:color w:val="000000" w:themeColor="text1"/>
        </w:rPr>
      </w:pPr>
    </w:p>
    <w:p w14:paraId="05530D9A" w14:textId="77777777" w:rsidR="00C90567" w:rsidRPr="00504013" w:rsidRDefault="00C90567" w:rsidP="00C90567">
      <w:r w:rsidRPr="00504013">
        <w:t>Ranc</w:t>
      </w:r>
      <w:r w:rsidRPr="00504013">
        <w:rPr>
          <w:lang w:val="en"/>
        </w:rPr>
        <w:t>é</w:t>
      </w:r>
      <w:r w:rsidRPr="00504013">
        <w:t xml:space="preserve"> F, Kanny G, Dutau G, Moneret</w:t>
      </w:r>
      <w:r w:rsidRPr="00504013">
        <w:rPr>
          <w:rFonts w:ascii="Cambria Math" w:hAnsi="Cambria Math" w:cs="Cambria Math"/>
        </w:rPr>
        <w:t>‐</w:t>
      </w:r>
      <w:r w:rsidRPr="00504013">
        <w:t xml:space="preserve">Vautrin DA (1999). Food hypersensitivity in children: clinical aspects and distribution of allergens. </w:t>
      </w:r>
      <w:r w:rsidRPr="00504013">
        <w:rPr>
          <w:iCs/>
        </w:rPr>
        <w:t>Pediatric Allergy and Immunology</w:t>
      </w:r>
      <w:r w:rsidRPr="00504013">
        <w:t xml:space="preserve"> </w:t>
      </w:r>
      <w:r w:rsidRPr="00504013">
        <w:rPr>
          <w:iCs/>
        </w:rPr>
        <w:t>10</w:t>
      </w:r>
      <w:r w:rsidRPr="00504013">
        <w:t>(1):33-38.</w:t>
      </w:r>
    </w:p>
    <w:p w14:paraId="71289D89" w14:textId="1C68841B" w:rsidR="0036057F" w:rsidRPr="00504013" w:rsidRDefault="0036057F" w:rsidP="004A26DB"/>
    <w:p w14:paraId="0C2AC9BB" w14:textId="63072570" w:rsidR="00C90567" w:rsidRPr="00504013" w:rsidRDefault="00C90567" w:rsidP="004A26DB">
      <w:pPr>
        <w:rPr>
          <w:lang w:val="en"/>
        </w:rPr>
      </w:pPr>
      <w:r w:rsidRPr="00504013">
        <w:rPr>
          <w:lang w:val="en"/>
        </w:rPr>
        <w:t xml:space="preserve">Rancé F, Dutau G, Abbal M. (2000) Mustard allergy in children. </w:t>
      </w:r>
      <w:r w:rsidRPr="00504013">
        <w:rPr>
          <w:iCs/>
          <w:lang w:val="en"/>
        </w:rPr>
        <w:t>Allergy</w:t>
      </w:r>
      <w:r w:rsidRPr="00504013">
        <w:rPr>
          <w:lang w:val="en"/>
        </w:rPr>
        <w:t xml:space="preserve"> 55(5):496</w:t>
      </w:r>
      <w:r w:rsidRPr="00504013">
        <w:rPr>
          <w:rFonts w:ascii="Cambria Math" w:hAnsi="Cambria Math" w:cs="Cambria Math"/>
          <w:lang w:val="en"/>
        </w:rPr>
        <w:t>‐</w:t>
      </w:r>
      <w:r w:rsidRPr="00504013">
        <w:rPr>
          <w:lang w:val="en"/>
        </w:rPr>
        <w:t>500</w:t>
      </w:r>
      <w:r w:rsidR="00504013" w:rsidRPr="00504013">
        <w:rPr>
          <w:lang w:val="en"/>
        </w:rPr>
        <w:t>.</w:t>
      </w:r>
    </w:p>
    <w:p w14:paraId="237B8FEF" w14:textId="77777777" w:rsidR="00C90567" w:rsidRPr="00504013" w:rsidRDefault="00C90567" w:rsidP="004A26DB"/>
    <w:p w14:paraId="2698BCCE" w14:textId="1F0A3F2F" w:rsidR="00D30581" w:rsidRPr="00413127" w:rsidRDefault="00413127" w:rsidP="000B5307">
      <w:r w:rsidRPr="00504013">
        <w:rPr>
          <w:rFonts w:cs="Arial"/>
        </w:rPr>
        <w:t xml:space="preserve">Reddy NR (2002) Occurrence, distribution, content, and dietary intake of phytate. In: </w:t>
      </w:r>
      <w:r w:rsidR="000B5307" w:rsidRPr="00504013">
        <w:rPr>
          <w:rFonts w:cs="Arial"/>
          <w:szCs w:val="22"/>
        </w:rPr>
        <w:t xml:space="preserve">Reddy </w:t>
      </w:r>
      <w:r w:rsidR="000B5307" w:rsidRPr="000B5307">
        <w:rPr>
          <w:rFonts w:cs="Arial"/>
          <w:szCs w:val="22"/>
        </w:rPr>
        <w:t>NR, Sathe SK (Eds.). Food Phytates</w:t>
      </w:r>
      <w:r w:rsidR="000B5307">
        <w:rPr>
          <w:rFonts w:cs="Arial"/>
          <w:szCs w:val="22"/>
        </w:rPr>
        <w:t>. CRC Press, Boca Raton Florida</w:t>
      </w:r>
      <w:r w:rsidRPr="00413127">
        <w:rPr>
          <w:rFonts w:cs="Arial"/>
        </w:rPr>
        <w:t>: 25-51</w:t>
      </w:r>
      <w:r w:rsidR="000B5307" w:rsidRPr="00413127" w:rsidDel="00413127">
        <w:rPr>
          <w:rFonts w:cs="Arial"/>
          <w:szCs w:val="22"/>
        </w:rPr>
        <w:t>.</w:t>
      </w:r>
    </w:p>
    <w:p w14:paraId="555258D5" w14:textId="77777777" w:rsidR="00D30581" w:rsidRPr="00413127" w:rsidRDefault="00D30581" w:rsidP="0036057F"/>
    <w:p w14:paraId="33FC4F50" w14:textId="25A1BE03" w:rsidR="00D30581" w:rsidRDefault="00D30581" w:rsidP="0036057F">
      <w:pPr>
        <w:rPr>
          <w:lang w:bidi="ar-SA"/>
        </w:rPr>
      </w:pPr>
      <w:r>
        <w:rPr>
          <w:lang w:bidi="ar-SA"/>
        </w:rPr>
        <w:t>Schlemmer U, Rolich W, Prieto RM and Grases F (2009). Phytate in foods and significance for humans: food sources, intake, processing, bioavailability, protective role and analysis. Mol Nutr Food Res 53:S330-S375.</w:t>
      </w:r>
    </w:p>
    <w:p w14:paraId="1CC6BDBF" w14:textId="77777777" w:rsidR="00D30581" w:rsidRDefault="00D30581" w:rsidP="0036057F">
      <w:pPr>
        <w:rPr>
          <w:lang w:bidi="ar-SA"/>
        </w:rPr>
      </w:pPr>
    </w:p>
    <w:p w14:paraId="70908F53" w14:textId="3FB6B941" w:rsidR="0038753D" w:rsidRPr="00504013" w:rsidRDefault="00CD0694" w:rsidP="00CD0694">
      <w:pPr>
        <w:rPr>
          <w:lang w:bidi="ar-SA"/>
        </w:rPr>
      </w:pPr>
      <w:r>
        <w:rPr>
          <w:lang w:bidi="ar-SA"/>
        </w:rPr>
        <w:t xml:space="preserve">Schonhof I, Krumbein A, Brckner B. (2004). Genotypic effects on glucosinolates and sensory </w:t>
      </w:r>
      <w:r w:rsidRPr="00504013">
        <w:rPr>
          <w:lang w:bidi="ar-SA"/>
        </w:rPr>
        <w:t>properties of br</w:t>
      </w:r>
      <w:r w:rsidR="00B824F8" w:rsidRPr="00504013">
        <w:rPr>
          <w:lang w:bidi="ar-SA"/>
        </w:rPr>
        <w:t>occoli and cauliflower. Food 48</w:t>
      </w:r>
      <w:r w:rsidR="00CD0825" w:rsidRPr="00504013">
        <w:rPr>
          <w:lang w:bidi="ar-SA"/>
        </w:rPr>
        <w:t>:</w:t>
      </w:r>
      <w:r w:rsidRPr="00504013">
        <w:rPr>
          <w:lang w:bidi="ar-SA"/>
        </w:rPr>
        <w:t>25–33.</w:t>
      </w:r>
    </w:p>
    <w:p w14:paraId="6B816739" w14:textId="0A1648AD" w:rsidR="00C90567" w:rsidRPr="00504013" w:rsidRDefault="00C90567" w:rsidP="00CD0694">
      <w:pPr>
        <w:rPr>
          <w:lang w:bidi="ar-SA"/>
        </w:rPr>
      </w:pPr>
    </w:p>
    <w:p w14:paraId="6958CC3D" w14:textId="569A2E86" w:rsidR="00C90567" w:rsidRPr="00504013" w:rsidRDefault="00C90567" w:rsidP="00C90567">
      <w:r w:rsidRPr="00504013">
        <w:t xml:space="preserve">Sharma A, Verma AK, Gupta RK, Dwivedi PD (2019). A comprehensive review on mustard-induced allergy and implications for human health. </w:t>
      </w:r>
      <w:r w:rsidR="00A65CBC" w:rsidRPr="00504013">
        <w:rPr>
          <w:iCs/>
        </w:rPr>
        <w:t>Clinical Reviews in Allergy &amp; I</w:t>
      </w:r>
      <w:r w:rsidRPr="00504013">
        <w:rPr>
          <w:iCs/>
        </w:rPr>
        <w:t>mmunology</w:t>
      </w:r>
      <w:r w:rsidRPr="00504013">
        <w:t xml:space="preserve"> </w:t>
      </w:r>
      <w:r w:rsidRPr="00504013">
        <w:rPr>
          <w:iCs/>
        </w:rPr>
        <w:t>57</w:t>
      </w:r>
      <w:r w:rsidRPr="00504013">
        <w:t>(1):39-54.</w:t>
      </w:r>
    </w:p>
    <w:p w14:paraId="73F7AA83" w14:textId="0AB44DFA" w:rsidR="00B327CD" w:rsidRPr="00504013" w:rsidRDefault="00B327CD" w:rsidP="00C90567"/>
    <w:p w14:paraId="4220283E" w14:textId="768783DC" w:rsidR="00B327CD" w:rsidRPr="00504013" w:rsidRDefault="00CD0825" w:rsidP="00C90567">
      <w:r w:rsidRPr="00504013">
        <w:t>Singh P, Kumar R, Sabapathy SN, Bawa AS (2008). Functional and edible uses of soy protein products. Comprehensive Reviews in Food Science and Food Safety 7:14-28.</w:t>
      </w:r>
    </w:p>
    <w:p w14:paraId="7561FDC0" w14:textId="7DB9A168" w:rsidR="00544CE8" w:rsidRPr="00504013" w:rsidRDefault="00544CE8" w:rsidP="004A26DB">
      <w:pPr>
        <w:rPr>
          <w:lang w:bidi="ar-SA"/>
        </w:rPr>
      </w:pPr>
    </w:p>
    <w:p w14:paraId="2C374D47" w14:textId="7CB6C5F3" w:rsidR="0005626E" w:rsidRPr="00AA670F" w:rsidRDefault="0005626E" w:rsidP="0005626E">
      <w:pPr>
        <w:rPr>
          <w:rFonts w:cs="Arial"/>
          <w:szCs w:val="22"/>
        </w:rPr>
      </w:pPr>
      <w:r w:rsidRPr="00AA670F">
        <w:rPr>
          <w:rFonts w:cs="Arial"/>
          <w:szCs w:val="22"/>
        </w:rPr>
        <w:t xml:space="preserve">Thompson DB and Erdman JW (1982). Phytic acid determination in soybeans. </w:t>
      </w:r>
      <w:r w:rsidRPr="00AA670F">
        <w:rPr>
          <w:rFonts w:cs="Arial"/>
          <w:iCs/>
          <w:szCs w:val="22"/>
        </w:rPr>
        <w:t>J Food</w:t>
      </w:r>
      <w:r w:rsidR="00676F0C">
        <w:rPr>
          <w:rFonts w:cs="Arial"/>
          <w:iCs/>
          <w:szCs w:val="22"/>
        </w:rPr>
        <w:t xml:space="preserve"> </w:t>
      </w:r>
      <w:r w:rsidRPr="00AA670F">
        <w:rPr>
          <w:rFonts w:cs="Arial"/>
          <w:iCs/>
          <w:szCs w:val="22"/>
        </w:rPr>
        <w:t xml:space="preserve">Sci </w:t>
      </w:r>
      <w:r w:rsidRPr="00AA670F">
        <w:rPr>
          <w:rFonts w:cs="Arial"/>
          <w:szCs w:val="22"/>
        </w:rPr>
        <w:t>47:513-517.</w:t>
      </w:r>
    </w:p>
    <w:p w14:paraId="609C6A7E" w14:textId="77777777" w:rsidR="0005626E" w:rsidRPr="00AA670F" w:rsidRDefault="0005626E" w:rsidP="0005626E">
      <w:pPr>
        <w:rPr>
          <w:rFonts w:cs="Arial"/>
          <w:szCs w:val="22"/>
        </w:rPr>
      </w:pPr>
    </w:p>
    <w:p w14:paraId="1D0C6B22" w14:textId="77777777" w:rsidR="006D5518" w:rsidRPr="002E2041" w:rsidRDefault="006D5518" w:rsidP="006D5518">
      <w:pPr>
        <w:rPr>
          <w:szCs w:val="22"/>
        </w:rPr>
      </w:pPr>
      <w:r>
        <w:t xml:space="preserve">US Food and Drug Administration (US FDA) (2010) </w:t>
      </w:r>
      <w:hyperlink r:id="rId39" w:history="1">
        <w:r>
          <w:rPr>
            <w:rStyle w:val="Hyperlink"/>
            <w:rFonts w:cs="Arial"/>
            <w:szCs w:val="22"/>
          </w:rPr>
          <w:t>GRN327 Cruciferin-rich canola/rapeseed protein isolate and napin-rich canola/rapeseed protein isolate.</w:t>
        </w:r>
      </w:hyperlink>
      <w:r>
        <w:rPr>
          <w:rFonts w:cs="Arial"/>
          <w:szCs w:val="22"/>
        </w:rPr>
        <w:t xml:space="preserve"> Accessed 22 April 2020. </w:t>
      </w:r>
    </w:p>
    <w:p w14:paraId="0076C01C" w14:textId="77777777" w:rsidR="006D5518" w:rsidRDefault="006D5518" w:rsidP="006D5518"/>
    <w:p w14:paraId="0241A08B" w14:textId="6F746FE7" w:rsidR="00B90B6A" w:rsidRDefault="006D5518" w:rsidP="0005626E">
      <w:pPr>
        <w:rPr>
          <w:rFonts w:cs="Arial"/>
          <w:szCs w:val="22"/>
        </w:rPr>
      </w:pPr>
      <w:r>
        <w:t xml:space="preserve">US Food and Drug Administration (US FDA) (2011) GRN386 </w:t>
      </w:r>
      <w:hyperlink r:id="rId40" w:history="1">
        <w:r w:rsidRPr="00AB7F78">
          <w:rPr>
            <w:rStyle w:val="Hyperlink"/>
            <w:rFonts w:cs="Arial"/>
            <w:szCs w:val="22"/>
          </w:rPr>
          <w:t>Canola protein isolate and hydrolysed canola protein isolate.</w:t>
        </w:r>
      </w:hyperlink>
      <w:r>
        <w:rPr>
          <w:rFonts w:cs="Arial"/>
          <w:szCs w:val="22"/>
        </w:rPr>
        <w:t xml:space="preserve"> Accessed 22 April 2020.</w:t>
      </w:r>
    </w:p>
    <w:p w14:paraId="60F5D924" w14:textId="0256CFF7" w:rsidR="002B02B1" w:rsidRDefault="002B02B1" w:rsidP="0005626E">
      <w:pPr>
        <w:rPr>
          <w:rFonts w:cs="Arial"/>
          <w:szCs w:val="22"/>
        </w:rPr>
      </w:pPr>
    </w:p>
    <w:p w14:paraId="4DE9673B" w14:textId="3A07064C" w:rsidR="002B02B1" w:rsidRDefault="002B02B1" w:rsidP="002B02B1">
      <w:r>
        <w:t xml:space="preserve">US Food and Drug Administration (US FDA) (2017) </w:t>
      </w:r>
      <w:r w:rsidR="00FF1854">
        <w:t>GRN 683</w:t>
      </w:r>
      <w:r>
        <w:t xml:space="preserve"> </w:t>
      </w:r>
      <w:hyperlink r:id="rId41" w:history="1">
        <w:r w:rsidRPr="00BB6125">
          <w:rPr>
            <w:rStyle w:val="Hyperlink"/>
          </w:rPr>
          <w:t>Canola Protein Isolate from DSM Innovation Company (DSM).</w:t>
        </w:r>
      </w:hyperlink>
      <w:r>
        <w:t xml:space="preserve"> Accessed 22 April 2020. </w:t>
      </w:r>
    </w:p>
    <w:p w14:paraId="0E2A2A5D" w14:textId="77777777" w:rsidR="002B02B1" w:rsidRDefault="002B02B1" w:rsidP="002B02B1"/>
    <w:p w14:paraId="2E2590D0" w14:textId="4C579F00" w:rsidR="0038753D" w:rsidRDefault="00CD0694" w:rsidP="00CD0694">
      <w:pPr>
        <w:rPr>
          <w:rFonts w:cs="Arial"/>
          <w:szCs w:val="22"/>
          <w:lang w:bidi="ar-SA"/>
        </w:rPr>
      </w:pPr>
      <w:r w:rsidRPr="00CD0694">
        <w:rPr>
          <w:rFonts w:cs="Arial"/>
          <w:szCs w:val="22"/>
          <w:lang w:bidi="ar-SA"/>
        </w:rPr>
        <w:t>Vale AP, Santos J, Brito NV, Peixoto V, Carvalho R, Rosa E and Oliveira MBPP</w:t>
      </w:r>
      <w:r>
        <w:rPr>
          <w:rFonts w:cs="Arial"/>
          <w:szCs w:val="22"/>
          <w:lang w:bidi="ar-SA"/>
        </w:rPr>
        <w:t xml:space="preserve"> (2015). Light influence in the </w:t>
      </w:r>
      <w:r w:rsidRPr="00CD0694">
        <w:rPr>
          <w:rFonts w:cs="Arial"/>
          <w:szCs w:val="22"/>
          <w:lang w:bidi="ar-SA"/>
        </w:rPr>
        <w:t xml:space="preserve">nutritional composition of </w:t>
      </w:r>
      <w:r w:rsidRPr="00B824F8">
        <w:rPr>
          <w:rFonts w:cs="Arial"/>
          <w:i/>
          <w:szCs w:val="22"/>
          <w:lang w:bidi="ar-SA"/>
        </w:rPr>
        <w:t>Brassica oleracea</w:t>
      </w:r>
      <w:r w:rsidR="00B824F8">
        <w:rPr>
          <w:rFonts w:cs="Arial"/>
          <w:szCs w:val="22"/>
          <w:lang w:bidi="ar-SA"/>
        </w:rPr>
        <w:t xml:space="preserve"> sprouts. Food Chemistry</w:t>
      </w:r>
      <w:r w:rsidRPr="00CD0694">
        <w:rPr>
          <w:rFonts w:cs="Arial"/>
          <w:szCs w:val="22"/>
          <w:lang w:bidi="ar-SA"/>
        </w:rPr>
        <w:t xml:space="preserve"> </w:t>
      </w:r>
      <w:r w:rsidR="00B824F8">
        <w:rPr>
          <w:rFonts w:cs="Arial"/>
          <w:szCs w:val="22"/>
          <w:lang w:bidi="ar-SA"/>
        </w:rPr>
        <w:t>178:</w:t>
      </w:r>
      <w:r w:rsidRPr="00CD0694">
        <w:rPr>
          <w:rFonts w:cs="Arial"/>
          <w:szCs w:val="22"/>
          <w:lang w:bidi="ar-SA"/>
        </w:rPr>
        <w:t>292–300.</w:t>
      </w:r>
    </w:p>
    <w:p w14:paraId="11CDFAE5" w14:textId="0A3DD000" w:rsidR="0038753D" w:rsidRDefault="0038753D" w:rsidP="004A26DB">
      <w:pPr>
        <w:rPr>
          <w:rFonts w:cs="Arial"/>
          <w:szCs w:val="22"/>
          <w:lang w:bidi="ar-SA"/>
        </w:rPr>
      </w:pPr>
    </w:p>
    <w:p w14:paraId="6F692E5D" w14:textId="226D450C" w:rsidR="00855F51" w:rsidRDefault="00D775B1" w:rsidP="004A26DB">
      <w:pPr>
        <w:rPr>
          <w:lang w:bidi="ar-SA"/>
        </w:rPr>
      </w:pPr>
      <w:r w:rsidRPr="00AA670F">
        <w:rPr>
          <w:rFonts w:cs="Arial"/>
          <w:szCs w:val="22"/>
          <w:lang w:bidi="ar-SA"/>
        </w:rPr>
        <w:t>Van der Speigel M,</w:t>
      </w:r>
      <w:r w:rsidRPr="00AA670F">
        <w:rPr>
          <w:lang w:bidi="ar-SA"/>
        </w:rPr>
        <w:t xml:space="preserve"> </w:t>
      </w:r>
      <w:r>
        <w:rPr>
          <w:lang w:bidi="ar-SA"/>
        </w:rPr>
        <w:t xml:space="preserve">Noordam MY and van der Fels-Klerx (2013). Safety of novel protein sources (insects, microalgae, seaweed, duckweed, and rapeseed) and legislative aspects for their application in food and feed production. Comprehensive Reviews in Food Science and Food Safety </w:t>
      </w:r>
      <w:r w:rsidR="00B824F8">
        <w:rPr>
          <w:lang w:bidi="ar-SA"/>
        </w:rPr>
        <w:t>12:</w:t>
      </w:r>
      <w:r w:rsidR="00F96AC0">
        <w:rPr>
          <w:lang w:bidi="ar-SA"/>
        </w:rPr>
        <w:t>662-678</w:t>
      </w:r>
      <w:r w:rsidR="00DA0B9D">
        <w:rPr>
          <w:lang w:bidi="ar-SA"/>
        </w:rPr>
        <w:t>.</w:t>
      </w:r>
    </w:p>
    <w:p w14:paraId="25163D8C" w14:textId="77777777" w:rsidR="00A53375" w:rsidRDefault="00A53375">
      <w:pPr>
        <w:widowControl/>
        <w:rPr>
          <w:lang w:bidi="ar-SA"/>
        </w:rPr>
      </w:pPr>
    </w:p>
    <w:p w14:paraId="55450DC0" w14:textId="2233E985" w:rsidR="005975EF" w:rsidRPr="005975EF" w:rsidRDefault="005975EF">
      <w:pPr>
        <w:widowControl/>
        <w:rPr>
          <w:lang w:bidi="ar-SA"/>
        </w:rPr>
      </w:pPr>
      <w:r w:rsidRPr="005975EF">
        <w:rPr>
          <w:lang w:bidi="ar-SA"/>
        </w:rPr>
        <w:t>VanEtten CH, Daxenbichler ME, Tookey HL, Kwolek WF, Williams PH, Yoder OC (1980)</w:t>
      </w:r>
      <w:r w:rsidR="00B824F8">
        <w:rPr>
          <w:lang w:bidi="ar-SA"/>
        </w:rPr>
        <w:t>.</w:t>
      </w:r>
      <w:r w:rsidRPr="005975EF">
        <w:rPr>
          <w:lang w:bidi="ar-SA"/>
        </w:rPr>
        <w:t xml:space="preserve"> Glucosinolates: potential toxicants in cabbage cultivars. J Am Soc Hort Sci 105:710–714</w:t>
      </w:r>
      <w:r w:rsidR="00504013">
        <w:rPr>
          <w:lang w:bidi="ar-SA"/>
        </w:rPr>
        <w:t>.</w:t>
      </w:r>
    </w:p>
    <w:p w14:paraId="512FC345" w14:textId="77777777" w:rsidR="005975EF" w:rsidRPr="00512A4A" w:rsidRDefault="005975EF" w:rsidP="00512A4A">
      <w:pPr>
        <w:widowControl/>
        <w:rPr>
          <w:rFonts w:cs="Arial"/>
          <w:szCs w:val="22"/>
          <w:lang w:val="en"/>
        </w:rPr>
      </w:pPr>
    </w:p>
    <w:p w14:paraId="0ADBBFB4" w14:textId="648F8172" w:rsidR="00376569" w:rsidRDefault="00A53375" w:rsidP="00512A4A">
      <w:pPr>
        <w:shd w:val="clear" w:color="auto" w:fill="FFFFFF"/>
      </w:pPr>
      <w:r w:rsidRPr="00512A4A">
        <w:rPr>
          <w:rFonts w:cs="Arial"/>
          <w:szCs w:val="22"/>
          <w:lang w:bidi="ar-SA"/>
        </w:rPr>
        <w:t xml:space="preserve">Wanasundara JPD, McIntosh TC, Perera SP, Withana-Gamage TS, Mitra P (2016). Canola/rapeseed protein-functionality and nutrition. OCL, DOI:10.1051/ocl/2016028. </w:t>
      </w:r>
      <w:hyperlink r:id="rId42" w:history="1">
        <w:r w:rsidR="003B7235" w:rsidRPr="00512A4A">
          <w:rPr>
            <w:rStyle w:val="Hyperlink"/>
            <w:rFonts w:cs="Arial"/>
            <w:color w:val="auto"/>
            <w:szCs w:val="22"/>
            <w:lang w:bidi="ar-SA"/>
          </w:rPr>
          <w:t xml:space="preserve">https://www.researchgate.net/publication/304913958_Canolarapeseed_protein-functionality_and_nutrition </w:t>
        </w:r>
      </w:hyperlink>
      <w:r w:rsidR="00754854">
        <w:rPr>
          <w:rStyle w:val="Hyperlink"/>
          <w:rFonts w:cs="Arial"/>
          <w:color w:val="auto"/>
          <w:szCs w:val="22"/>
          <w:lang w:bidi="ar-SA"/>
        </w:rPr>
        <w:t>Accessed January 2020.</w:t>
      </w:r>
    </w:p>
    <w:p w14:paraId="4735F5F2" w14:textId="77777777" w:rsidR="008F68FA" w:rsidRPr="007247A0" w:rsidRDefault="008F68FA" w:rsidP="000B66AB">
      <w:pPr>
        <w:widowControl/>
        <w:rPr>
          <w:rFonts w:cs="Arial"/>
          <w:szCs w:val="22"/>
          <w:lang w:bidi="ar-SA"/>
        </w:rPr>
      </w:pPr>
    </w:p>
    <w:p w14:paraId="49EECC19" w14:textId="5A2D6D45" w:rsidR="000B66AB" w:rsidRPr="000B66AB" w:rsidRDefault="000B66AB" w:rsidP="000B66AB">
      <w:pPr>
        <w:widowControl/>
        <w:rPr>
          <w:rFonts w:cs="Arial"/>
          <w:szCs w:val="22"/>
          <w:lang w:bidi="ar-SA"/>
        </w:rPr>
      </w:pPr>
      <w:r w:rsidRPr="000B66AB">
        <w:rPr>
          <w:rFonts w:cs="Arial"/>
          <w:szCs w:val="22"/>
          <w:lang w:bidi="ar-SA"/>
        </w:rPr>
        <w:t>Wattenberg LW, Hanley AB, Barany G, Sparrins VL, Lam LKT, Fenwick GR (1986). Inhibition of carcinogenesis by some minor dietary constituents. In: Hayashi Y (ed). Diet, Nutrition and Cancer, pp 193–203. Japan Scientific Society Press: Tokyo.</w:t>
      </w:r>
    </w:p>
    <w:p w14:paraId="30D64773" w14:textId="77777777" w:rsidR="000B66AB" w:rsidRDefault="000B66AB" w:rsidP="00512A4A">
      <w:pPr>
        <w:shd w:val="clear" w:color="auto" w:fill="FFFFFF"/>
      </w:pPr>
    </w:p>
    <w:p w14:paraId="055F15D6" w14:textId="0A1CE124" w:rsidR="00D87E4B" w:rsidRDefault="00CD0694" w:rsidP="00CE6196">
      <w:r w:rsidRPr="00CD0694">
        <w:rPr>
          <w:rFonts w:cs="Arial"/>
          <w:szCs w:val="22"/>
          <w:lang w:bidi="ar-SA"/>
        </w:rPr>
        <w:t>West L, Tsui I, Balch B, Meyer K and Huth PJ (2002). Determination and health implication of the erucic acid content of broccoli florets, sprouts, and seeds. Journal of Food Science, 67: 2641–2643.</w:t>
      </w:r>
    </w:p>
    <w:p w14:paraId="00076D77" w14:textId="10D865F6" w:rsidR="00D87E4B" w:rsidRDefault="00D87E4B" w:rsidP="00CE6196"/>
    <w:p w14:paraId="47E22E09" w14:textId="2A6501EB" w:rsidR="00CE6196" w:rsidRPr="008F11F5" w:rsidRDefault="00CE6196" w:rsidP="00CE6196">
      <w:r w:rsidRPr="008F11F5">
        <w:t>W</w:t>
      </w:r>
      <w:r>
        <w:t xml:space="preserve">orld </w:t>
      </w:r>
      <w:r w:rsidRPr="008F11F5">
        <w:t>H</w:t>
      </w:r>
      <w:r>
        <w:t xml:space="preserve">ealth </w:t>
      </w:r>
      <w:r w:rsidRPr="008F11F5">
        <w:t>O</w:t>
      </w:r>
      <w:r>
        <w:t>rganization</w:t>
      </w:r>
      <w:r w:rsidRPr="008F11F5">
        <w:t>/F</w:t>
      </w:r>
      <w:r>
        <w:t xml:space="preserve">ood and </w:t>
      </w:r>
      <w:r w:rsidRPr="008F11F5">
        <w:t>A</w:t>
      </w:r>
      <w:r>
        <w:t xml:space="preserve">griculture </w:t>
      </w:r>
      <w:r w:rsidRPr="008F11F5">
        <w:t>O</w:t>
      </w:r>
      <w:r>
        <w:t>rganization</w:t>
      </w:r>
      <w:r w:rsidRPr="008F11F5">
        <w:t xml:space="preserve"> (2002)</w:t>
      </w:r>
      <w:r>
        <w:t>.</w:t>
      </w:r>
      <w:r w:rsidRPr="008F11F5">
        <w:t xml:space="preserve"> Risk assessments of Salmonella in eggs and broiler chickens. </w:t>
      </w:r>
      <w:r>
        <w:t xml:space="preserve">Geneva: </w:t>
      </w:r>
      <w:r w:rsidRPr="008F11F5">
        <w:t>World</w:t>
      </w:r>
      <w:r>
        <w:t xml:space="preserve"> </w:t>
      </w:r>
      <w:r w:rsidRPr="008F11F5">
        <w:t xml:space="preserve">Health Organization and Food and Agriculture Organization of the United Nations, </w:t>
      </w:r>
    </w:p>
    <w:p w14:paraId="4B0CE643" w14:textId="77777777" w:rsidR="00CE6196" w:rsidRPr="002B4E6B" w:rsidRDefault="006574B6" w:rsidP="00CE6196">
      <w:hyperlink r:id="rId43" w:history="1">
        <w:r w:rsidR="00CE6196" w:rsidRPr="001A68CD">
          <w:rPr>
            <w:rStyle w:val="Hyperlink"/>
          </w:rPr>
          <w:t>http://www.who.int/foodsafety/publications/micro/salmonella/en/index.html</w:t>
        </w:r>
      </w:hyperlink>
      <w:r w:rsidR="00CE6196">
        <w:t>.</w:t>
      </w:r>
      <w:r w:rsidR="00CE6196" w:rsidRPr="008F11F5">
        <w:t xml:space="preserve"> Accessed 12 May 2020</w:t>
      </w:r>
    </w:p>
    <w:p w14:paraId="0E29C217" w14:textId="7E5FB473" w:rsidR="00CE6196" w:rsidRDefault="00CE6196" w:rsidP="00512A4A">
      <w:pPr>
        <w:shd w:val="clear" w:color="auto" w:fill="FFFFFF"/>
        <w:rPr>
          <w:rFonts w:cs="Arial"/>
          <w:szCs w:val="22"/>
          <w:lang w:val="en" w:eastAsia="en-GB"/>
        </w:rPr>
      </w:pPr>
    </w:p>
    <w:p w14:paraId="5F0F91C0" w14:textId="77777777" w:rsidR="003B7235" w:rsidRDefault="003B7235" w:rsidP="00512A4A">
      <w:pPr>
        <w:widowControl/>
        <w:rPr>
          <w:rFonts w:cs="Arial"/>
          <w:szCs w:val="22"/>
        </w:rPr>
      </w:pPr>
      <w:r w:rsidRPr="00512A4A">
        <w:rPr>
          <w:rFonts w:cs="Arial"/>
          <w:szCs w:val="22"/>
        </w:rPr>
        <w:t>Xiao CW, Wood CM, Robertson P and Gilani GS (2012). Protease inhibitor activities and isoflavone content in commercial soymilks and soy-based infant formulas sold in Ottawa, Canada. J Food Comp Anal 25:130-6.</w:t>
      </w:r>
    </w:p>
    <w:p w14:paraId="61DA0D60" w14:textId="77777777" w:rsidR="00284487" w:rsidRDefault="00284487" w:rsidP="00512A4A">
      <w:pPr>
        <w:widowControl/>
        <w:rPr>
          <w:rFonts w:cs="Arial"/>
          <w:szCs w:val="22"/>
        </w:rPr>
      </w:pPr>
    </w:p>
    <w:p w14:paraId="10B8928C" w14:textId="053FEF02" w:rsidR="00CD0694" w:rsidRPr="00CD0694" w:rsidRDefault="00CD0694" w:rsidP="00512A4A">
      <w:pPr>
        <w:widowControl/>
      </w:pPr>
      <w:r w:rsidRPr="00CD0694">
        <w:t xml:space="preserve">Yang B, Quiros CF. (2010). Survey of glucosinolate variation in leaves of </w:t>
      </w:r>
      <w:r w:rsidRPr="00B824F8">
        <w:rPr>
          <w:i/>
        </w:rPr>
        <w:t>Brassica rapa</w:t>
      </w:r>
      <w:r w:rsidR="00B824F8">
        <w:t xml:space="preserve"> crops. Genet Resour Crop Evol</w:t>
      </w:r>
      <w:r w:rsidRPr="00CD0694">
        <w:t xml:space="preserve"> 57:1079–1089.</w:t>
      </w:r>
    </w:p>
    <w:p w14:paraId="7CFC9619" w14:textId="77777777" w:rsidR="00284487" w:rsidRPr="00512A4A" w:rsidRDefault="00284487" w:rsidP="00512A4A">
      <w:pPr>
        <w:widowControl/>
        <w:rPr>
          <w:rFonts w:cs="Arial"/>
          <w:szCs w:val="22"/>
          <w:lang w:bidi="ar-SA"/>
        </w:rPr>
      </w:pPr>
    </w:p>
    <w:p w14:paraId="0A42E36C" w14:textId="31AE799F" w:rsidR="00855F51" w:rsidRPr="00512A4A" w:rsidRDefault="00855F51" w:rsidP="00512A4A">
      <w:pPr>
        <w:widowControl/>
        <w:rPr>
          <w:rFonts w:cs="Arial"/>
          <w:szCs w:val="22"/>
          <w:lang w:bidi="ar-SA"/>
        </w:rPr>
      </w:pPr>
      <w:r w:rsidRPr="00512A4A">
        <w:rPr>
          <w:rFonts w:cs="Arial"/>
          <w:szCs w:val="22"/>
          <w:lang w:bidi="ar-SA"/>
        </w:rPr>
        <w:br w:type="page"/>
      </w:r>
    </w:p>
    <w:p w14:paraId="5D8C1C09" w14:textId="70E47867" w:rsidR="00855F51" w:rsidRPr="00A36783" w:rsidRDefault="00E922D8" w:rsidP="00855F51">
      <w:pPr>
        <w:pStyle w:val="Heading1"/>
      </w:pPr>
      <w:bookmarkStart w:id="1494" w:name="_Toc38549516"/>
      <w:bookmarkStart w:id="1495" w:name="_Toc38634179"/>
      <w:bookmarkStart w:id="1496" w:name="_Toc39571058"/>
      <w:bookmarkStart w:id="1497" w:name="_Toc39579314"/>
      <w:bookmarkStart w:id="1498" w:name="_Toc39579377"/>
      <w:bookmarkStart w:id="1499" w:name="_Toc39587135"/>
      <w:bookmarkStart w:id="1500" w:name="_Toc39582527"/>
      <w:bookmarkStart w:id="1501" w:name="_Toc40264943"/>
      <w:bookmarkStart w:id="1502" w:name="_Toc40266419"/>
      <w:bookmarkStart w:id="1503" w:name="_Toc40279752"/>
      <w:bookmarkStart w:id="1504" w:name="_Toc40282054"/>
      <w:bookmarkStart w:id="1505" w:name="_Toc40282216"/>
      <w:bookmarkStart w:id="1506" w:name="_Toc40360546"/>
      <w:bookmarkStart w:id="1507" w:name="_Toc40353589"/>
      <w:bookmarkStart w:id="1508" w:name="_Toc40366936"/>
      <w:bookmarkStart w:id="1509" w:name="_Toc40368268"/>
      <w:bookmarkStart w:id="1510" w:name="_Toc40382874"/>
      <w:bookmarkStart w:id="1511" w:name="_Toc40431073"/>
      <w:bookmarkStart w:id="1512" w:name="_Toc40433011"/>
      <w:bookmarkStart w:id="1513" w:name="_Toc40447696"/>
      <w:bookmarkStart w:id="1514" w:name="_Toc40441225"/>
      <w:bookmarkStart w:id="1515" w:name="_Toc40448561"/>
      <w:bookmarkStart w:id="1516" w:name="_Toc40449989"/>
      <w:bookmarkStart w:id="1517" w:name="_Toc40968333"/>
      <w:bookmarkStart w:id="1518" w:name="_Toc41051055"/>
      <w:bookmarkStart w:id="1519" w:name="_Toc41046055"/>
      <w:bookmarkStart w:id="1520" w:name="_Toc41053513"/>
      <w:bookmarkStart w:id="1521" w:name="_Toc44592684"/>
      <w:bookmarkStart w:id="1522" w:name="_Toc44596197"/>
      <w:bookmarkStart w:id="1523" w:name="_Toc44604592"/>
      <w:bookmarkStart w:id="1524" w:name="_Toc54169741"/>
      <w:bookmarkStart w:id="1525" w:name="_Toc56090030"/>
      <w:r>
        <w:t>9</w:t>
      </w:r>
      <w:r w:rsidR="00855F51">
        <w:t>.</w:t>
      </w:r>
      <w:r w:rsidR="00FC5481">
        <w:tab/>
      </w:r>
      <w:r w:rsidR="00855F51">
        <w:t>Appendix</w:t>
      </w:r>
      <w:r w:rsidR="0025681B">
        <w:t xml:space="preserve"> 1 </w:t>
      </w:r>
      <w:r w:rsidR="006E141E">
        <w:t>Details of the dietary exposure assessment</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14:paraId="5A3834F4" w14:textId="7E61F085" w:rsidR="00B24C75" w:rsidRDefault="0025681B" w:rsidP="00E41BD5">
      <w:pPr>
        <w:pStyle w:val="Heading2"/>
      </w:pPr>
      <w:bookmarkStart w:id="1526" w:name="_Toc38549517"/>
      <w:bookmarkStart w:id="1527" w:name="_Toc38634180"/>
      <w:bookmarkStart w:id="1528" w:name="_Toc39571059"/>
      <w:bookmarkStart w:id="1529" w:name="_Toc39579315"/>
      <w:bookmarkStart w:id="1530" w:name="_Toc39579378"/>
      <w:bookmarkStart w:id="1531" w:name="_Toc39587136"/>
      <w:bookmarkStart w:id="1532" w:name="_Toc39582528"/>
      <w:bookmarkStart w:id="1533" w:name="_Toc40264944"/>
      <w:bookmarkStart w:id="1534" w:name="_Toc40266420"/>
      <w:bookmarkStart w:id="1535" w:name="_Toc40279753"/>
      <w:bookmarkStart w:id="1536" w:name="_Toc40282055"/>
      <w:bookmarkStart w:id="1537" w:name="_Toc40282217"/>
      <w:bookmarkStart w:id="1538" w:name="_Toc40360547"/>
      <w:bookmarkStart w:id="1539" w:name="_Toc40353590"/>
      <w:bookmarkStart w:id="1540" w:name="_Toc40366937"/>
      <w:bookmarkStart w:id="1541" w:name="_Toc40368269"/>
      <w:bookmarkStart w:id="1542" w:name="_Toc40382875"/>
      <w:bookmarkStart w:id="1543" w:name="_Toc40431074"/>
      <w:bookmarkStart w:id="1544" w:name="_Toc40433012"/>
      <w:bookmarkStart w:id="1545" w:name="_Toc40447697"/>
      <w:bookmarkStart w:id="1546" w:name="_Toc40441226"/>
      <w:bookmarkStart w:id="1547" w:name="_Toc40448562"/>
      <w:bookmarkStart w:id="1548" w:name="_Toc40449990"/>
      <w:bookmarkStart w:id="1549" w:name="_Toc40968334"/>
      <w:bookmarkStart w:id="1550" w:name="_Toc41051056"/>
      <w:bookmarkStart w:id="1551" w:name="_Toc41046056"/>
      <w:bookmarkStart w:id="1552" w:name="_Toc41053514"/>
      <w:bookmarkStart w:id="1553" w:name="_Toc44592685"/>
      <w:bookmarkStart w:id="1554" w:name="_Toc44596198"/>
      <w:bookmarkStart w:id="1555" w:name="_Toc44604593"/>
      <w:bookmarkStart w:id="1556" w:name="_Toc54169742"/>
      <w:bookmarkStart w:id="1557" w:name="_Toc56090031"/>
      <w:r>
        <w:t>9.</w:t>
      </w:r>
      <w:r w:rsidR="00A5700E">
        <w:t>1</w:t>
      </w:r>
      <w:r w:rsidR="00FC5481">
        <w:tab/>
      </w:r>
      <w:r w:rsidR="00B24C75">
        <w:t>Food consumption data</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14:paraId="59CF9E19" w14:textId="64FCB03B" w:rsidR="00B24C75" w:rsidRPr="00BC485A" w:rsidRDefault="00B24C75" w:rsidP="00B24C75">
      <w:r w:rsidRPr="00BC485A">
        <w:t xml:space="preserve">The most recent food consumption data available were used to estimate </w:t>
      </w:r>
      <w:r w:rsidR="004F1591">
        <w:t>rapeseed protein isolate</w:t>
      </w:r>
      <w:r>
        <w:t xml:space="preserve"> exposures </w:t>
      </w:r>
      <w:r w:rsidRPr="00BC485A">
        <w:t>for the Australian and New Zealand populations. The national nutrition survey data used for these assessments were:</w:t>
      </w:r>
    </w:p>
    <w:p w14:paraId="0CF117E0" w14:textId="627E7D24" w:rsidR="00B24C75" w:rsidRPr="00BC485A" w:rsidRDefault="00B24C75" w:rsidP="00B24C75">
      <w:pPr>
        <w:pStyle w:val="FSBullet1"/>
      </w:pPr>
      <w:r w:rsidRPr="00BC485A">
        <w:t>The 2011-12 Australian National Nutrition and Physical Activity Survey (2011</w:t>
      </w:r>
      <w:r>
        <w:t>-12</w:t>
      </w:r>
      <w:r w:rsidRPr="00BC485A">
        <w:t> NNPAS)</w:t>
      </w:r>
      <w:r w:rsidR="001726CF">
        <w:t xml:space="preserve"> (ABS, 2014)</w:t>
      </w:r>
    </w:p>
    <w:p w14:paraId="182DAA58" w14:textId="51AA0B75" w:rsidR="00B24C75" w:rsidRPr="00BC485A" w:rsidRDefault="00B24C75" w:rsidP="00B24C75">
      <w:pPr>
        <w:pStyle w:val="FSBullet1"/>
      </w:pPr>
      <w:r w:rsidRPr="00BC485A">
        <w:t>The 2002 New Zealand National Children’s Nutrition Survey (2002 NZ</w:t>
      </w:r>
      <w:r>
        <w:t xml:space="preserve"> C</w:t>
      </w:r>
      <w:r w:rsidRPr="00BC485A">
        <w:t>NS)</w:t>
      </w:r>
      <w:r w:rsidR="001726CF">
        <w:t xml:space="preserve"> (Ministry of Health, 2003; Ministry of Health, 2005)</w:t>
      </w:r>
    </w:p>
    <w:p w14:paraId="2AECADC3" w14:textId="5DBB0E76" w:rsidR="00B24C75" w:rsidRPr="00BC485A" w:rsidRDefault="00B24C75" w:rsidP="00B24C75">
      <w:pPr>
        <w:pStyle w:val="FSBullet1"/>
      </w:pPr>
      <w:r w:rsidRPr="00BC485A">
        <w:t>The 2008-09 New Zealand Adult Nutrition Survey (2008 NZ</w:t>
      </w:r>
      <w:r>
        <w:t xml:space="preserve"> </w:t>
      </w:r>
      <w:r w:rsidRPr="00BC485A">
        <w:t>ANS)</w:t>
      </w:r>
      <w:r w:rsidR="001726CF">
        <w:t xml:space="preserve"> (Ministry of Health, 2011a; Ministry of Health, 2011b)</w:t>
      </w:r>
      <w:r w:rsidRPr="00BC485A">
        <w:t>.</w:t>
      </w:r>
    </w:p>
    <w:p w14:paraId="54D2E9BB" w14:textId="77777777" w:rsidR="00B24C75" w:rsidRPr="00BC485A" w:rsidRDefault="00B24C75" w:rsidP="00B24C75"/>
    <w:p w14:paraId="3A5D873F" w14:textId="77777777" w:rsidR="00B24C75" w:rsidRDefault="00B24C75" w:rsidP="00B24C75">
      <w:pPr>
        <w:rPr>
          <w:lang w:eastAsia="en-AU"/>
        </w:rPr>
      </w:pPr>
      <w:r w:rsidRPr="00BC485A">
        <w:t xml:space="preserve">The design of each of these surveys varies somewhat and key attributes of each are set out below. </w:t>
      </w:r>
      <w:r w:rsidRPr="00BC485A">
        <w:rPr>
          <w:lang w:eastAsia="en-AU"/>
        </w:rPr>
        <w:t xml:space="preserve">Further information on the </w:t>
      </w:r>
      <w:r>
        <w:rPr>
          <w:lang w:eastAsia="en-AU"/>
        </w:rPr>
        <w:t>n</w:t>
      </w:r>
      <w:r w:rsidRPr="00BC485A">
        <w:rPr>
          <w:lang w:eastAsia="en-AU"/>
        </w:rPr>
        <w:t xml:space="preserve">ational </w:t>
      </w:r>
      <w:r>
        <w:rPr>
          <w:lang w:eastAsia="en-AU"/>
        </w:rPr>
        <w:t>n</w:t>
      </w:r>
      <w:r w:rsidRPr="00BC485A">
        <w:rPr>
          <w:lang w:eastAsia="en-AU"/>
        </w:rPr>
        <w:t xml:space="preserve">utrition </w:t>
      </w:r>
      <w:r>
        <w:rPr>
          <w:lang w:eastAsia="en-AU"/>
        </w:rPr>
        <w:t>s</w:t>
      </w:r>
      <w:r w:rsidRPr="00BC485A">
        <w:rPr>
          <w:lang w:eastAsia="en-AU"/>
        </w:rPr>
        <w:t xml:space="preserve">urveys used to conduct dietary exposure assessments is available on the FSANZ website at </w:t>
      </w:r>
      <w:hyperlink r:id="rId44" w:history="1">
        <w:r w:rsidRPr="00BC485A">
          <w:rPr>
            <w:color w:val="3333FF"/>
            <w:u w:val="single"/>
            <w:lang w:eastAsia="en-AU"/>
          </w:rPr>
          <w:t>http://www.foodstandards.gov.au/science/exposure/Pages/dietaryexposureandin4438.aspx</w:t>
        </w:r>
      </w:hyperlink>
      <w:r w:rsidRPr="00BC485A">
        <w:rPr>
          <w:lang w:eastAsia="en-AU"/>
        </w:rPr>
        <w:t>.</w:t>
      </w:r>
    </w:p>
    <w:p w14:paraId="311A4D56" w14:textId="0766D05B" w:rsidR="00B24C75" w:rsidRDefault="00B24C75" w:rsidP="00B24C75">
      <w:pPr>
        <w:rPr>
          <w:i/>
          <w:highlight w:val="yellow"/>
        </w:rPr>
      </w:pPr>
    </w:p>
    <w:p w14:paraId="6A9DD9AD" w14:textId="025A0C54" w:rsidR="006F11FE" w:rsidRDefault="006F11FE" w:rsidP="006F11FE">
      <w:r>
        <w:t xml:space="preserve">For the dietary exposure assessment for rapeseed protein isolate, consumption data for each food for each individual respondent were used within the Harvest program for the calculations. </w:t>
      </w:r>
      <w:r w:rsidRPr="00047F90">
        <w:t xml:space="preserve">FSANZ’s dietary exposure assessment computer program Harvest was used to calculate the </w:t>
      </w:r>
      <w:r w:rsidR="004F1591">
        <w:t xml:space="preserve">summary </w:t>
      </w:r>
      <w:r w:rsidRPr="00047F90">
        <w:t xml:space="preserve">consumption data for </w:t>
      </w:r>
      <w:r w:rsidR="00D15586" w:rsidRPr="00DA0240">
        <w:rPr>
          <w:i/>
          <w:lang w:bidi="ar-SA"/>
        </w:rPr>
        <w:t>Brassica</w:t>
      </w:r>
      <w:r w:rsidR="00D15586">
        <w:rPr>
          <w:i/>
          <w:lang w:bidi="ar-SA"/>
        </w:rPr>
        <w:t>s</w:t>
      </w:r>
      <w:r w:rsidR="00D15586">
        <w:t xml:space="preserve"> </w:t>
      </w:r>
      <w:r w:rsidR="004F1591">
        <w:t xml:space="preserve">(derived from individual </w:t>
      </w:r>
      <w:r w:rsidR="0009796E">
        <w:t>consumers’</w:t>
      </w:r>
      <w:r w:rsidR="004F1591">
        <w:t xml:space="preserve"> consumption amounts)</w:t>
      </w:r>
      <w:r>
        <w:t xml:space="preserve"> which was extracted to use in deterministic calculations</w:t>
      </w:r>
      <w:r w:rsidR="004F1591">
        <w:t xml:space="preserve"> of dietary exposure</w:t>
      </w:r>
      <w:r w:rsidR="00F51477">
        <w:t xml:space="preserve"> for erucic acid and glucosinolates</w:t>
      </w:r>
      <w:r w:rsidRPr="00047F90">
        <w:t>.</w:t>
      </w:r>
    </w:p>
    <w:p w14:paraId="0E53E38A" w14:textId="77777777" w:rsidR="006F11FE" w:rsidRPr="00BC485A" w:rsidRDefault="006F11FE" w:rsidP="00B24C75">
      <w:pPr>
        <w:rPr>
          <w:i/>
          <w:highlight w:val="yellow"/>
        </w:rPr>
      </w:pPr>
    </w:p>
    <w:p w14:paraId="5915A0BA" w14:textId="513610F7" w:rsidR="00B24C75" w:rsidRDefault="00B24C75" w:rsidP="00FC5481">
      <w:pPr>
        <w:rPr>
          <w:b/>
        </w:rPr>
      </w:pPr>
      <w:bookmarkStart w:id="1558" w:name="_Toc518655008"/>
      <w:bookmarkStart w:id="1559" w:name="_Toc522719011"/>
      <w:bookmarkStart w:id="1560" w:name="_Toc522712049"/>
      <w:bookmarkStart w:id="1561" w:name="_Toc523830685"/>
      <w:bookmarkStart w:id="1562" w:name="_Toc526337855"/>
      <w:bookmarkStart w:id="1563" w:name="_Toc526343114"/>
      <w:bookmarkStart w:id="1564" w:name="_Toc38549518"/>
      <w:bookmarkStart w:id="1565" w:name="_Toc38634181"/>
      <w:bookmarkStart w:id="1566" w:name="_Toc39571060"/>
      <w:bookmarkStart w:id="1567" w:name="_Toc39579316"/>
      <w:bookmarkStart w:id="1568" w:name="_Toc39579379"/>
      <w:bookmarkStart w:id="1569" w:name="_Toc39587137"/>
      <w:bookmarkStart w:id="1570" w:name="_Toc39582529"/>
      <w:bookmarkStart w:id="1571" w:name="_Toc40264945"/>
      <w:bookmarkStart w:id="1572" w:name="_Toc40266421"/>
      <w:bookmarkStart w:id="1573" w:name="_Toc40279754"/>
      <w:bookmarkStart w:id="1574" w:name="_Toc40282056"/>
      <w:bookmarkStart w:id="1575" w:name="_Toc40282218"/>
      <w:bookmarkStart w:id="1576" w:name="_Toc40360548"/>
      <w:bookmarkStart w:id="1577" w:name="_Toc40353591"/>
      <w:bookmarkStart w:id="1578" w:name="_Toc40366938"/>
      <w:bookmarkStart w:id="1579" w:name="_Toc40368270"/>
      <w:bookmarkStart w:id="1580" w:name="_Toc40382876"/>
      <w:bookmarkStart w:id="1581" w:name="_Toc40431075"/>
      <w:bookmarkStart w:id="1582" w:name="_Toc40433013"/>
      <w:bookmarkStart w:id="1583" w:name="_Toc40447698"/>
      <w:bookmarkStart w:id="1584" w:name="_Toc40441227"/>
      <w:bookmarkStart w:id="1585" w:name="_Toc40448563"/>
      <w:bookmarkStart w:id="1586" w:name="_Toc40449991"/>
      <w:bookmarkStart w:id="1587" w:name="_Toc508119312"/>
      <w:bookmarkStart w:id="1588" w:name="_Toc516668857"/>
      <w:bookmarkStart w:id="1589" w:name="_Toc517709910"/>
      <w:bookmarkStart w:id="1590" w:name="_Toc518388310"/>
      <w:r w:rsidRPr="00FC5481">
        <w:rPr>
          <w:b/>
        </w:rPr>
        <w:t>2011–12 Australian National Nutrition and Physical Activity Survey (2011-12 NNPAS)</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2235B391" w14:textId="77777777" w:rsidR="00FC5481" w:rsidRPr="00FC5481" w:rsidRDefault="00FC5481" w:rsidP="00FC5481">
      <w:pPr>
        <w:rPr>
          <w:b/>
        </w:rPr>
      </w:pPr>
    </w:p>
    <w:bookmarkEnd w:id="1587"/>
    <w:bookmarkEnd w:id="1588"/>
    <w:bookmarkEnd w:id="1589"/>
    <w:bookmarkEnd w:id="1590"/>
    <w:p w14:paraId="2DC3DA29" w14:textId="1E206036" w:rsidR="00B24C75" w:rsidRPr="0033168F" w:rsidRDefault="00B24C75" w:rsidP="00B24C75">
      <w:pPr>
        <w:keepLines/>
      </w:pPr>
      <w:r w:rsidRPr="0033168F">
        <w:t>The 2011–12 Australian National Nutrition and Physical Activity Survey (2011-12 NNPAS), undertaken by the Australian Bureau of Statistics</w:t>
      </w:r>
      <w:r w:rsidR="00F51477">
        <w:t xml:space="preserve"> as part of the 2011-13 Australian Health Survey</w:t>
      </w:r>
      <w:r w:rsidRPr="0033168F">
        <w:t xml:space="preserve">, is the most recent food consumption data for Australia. This survey includes </w:t>
      </w:r>
      <w:r w:rsidR="00F51477">
        <w:t>food consumption data from</w:t>
      </w:r>
      <w:r w:rsidRPr="0033168F">
        <w:t xml:space="preserve"> a sample of 12,153 Australians aged from 2 years and above. The survey used a 24-hour recall method for all respondents, with 64% of respondents </w:t>
      </w:r>
      <w:r>
        <w:t xml:space="preserve">(n=7,735) </w:t>
      </w:r>
      <w:r w:rsidRPr="0033168F">
        <w:t>also completing a second 24-hour recall on a second, non-consecutive day. The data were collected from May 2011 to June 2012 (with no enumeration between August and September 2011 due to the Census). Only those respondents who had two days of food consumption data were used to estimate dietary exposures for this assessment. T</w:t>
      </w:r>
      <w:r w:rsidRPr="0033168F">
        <w:rPr>
          <w:lang w:eastAsia="en-AU"/>
        </w:rPr>
        <w:t xml:space="preserve">he </w:t>
      </w:r>
      <w:r>
        <w:rPr>
          <w:lang w:eastAsia="en-AU"/>
        </w:rPr>
        <w:t>Day 1 and 2</w:t>
      </w:r>
      <w:r w:rsidRPr="0033168F">
        <w:rPr>
          <w:lang w:eastAsia="en-AU"/>
        </w:rPr>
        <w:t xml:space="preserve"> average provides the best estimates of </w:t>
      </w:r>
      <w:r w:rsidRPr="0033168F">
        <w:t>dietary</w:t>
      </w:r>
      <w:r w:rsidRPr="0033168F">
        <w:rPr>
          <w:lang w:eastAsia="en-AU"/>
        </w:rPr>
        <w:t xml:space="preserve"> </w:t>
      </w:r>
      <w:r>
        <w:rPr>
          <w:lang w:eastAsia="en-AU"/>
        </w:rPr>
        <w:t>exposure</w:t>
      </w:r>
      <w:r w:rsidRPr="0033168F">
        <w:rPr>
          <w:lang w:eastAsia="en-AU"/>
        </w:rPr>
        <w:t xml:space="preserve">s for Australians aged 2 years and above. </w:t>
      </w:r>
      <w:r w:rsidRPr="0033168F">
        <w:t xml:space="preserve">Consumption and respondent data from the survey were incorporated into the Harvest program from the Confidentialised Unit Record Files (CURF) data set </w:t>
      </w:r>
      <w:r w:rsidRPr="0033168F">
        <w:fldChar w:fldCharType="begin"/>
      </w:r>
      <w:r w:rsidRPr="0033168F">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33168F">
        <w:fldChar w:fldCharType="separate"/>
      </w:r>
      <w:r w:rsidRPr="0033168F">
        <w:rPr>
          <w:noProof/>
        </w:rPr>
        <w:t>(ABS 2014)</w:t>
      </w:r>
      <w:r w:rsidRPr="0033168F">
        <w:fldChar w:fldCharType="end"/>
      </w:r>
      <w:r w:rsidRPr="0033168F">
        <w:t>.</w:t>
      </w:r>
      <w:r>
        <w:t xml:space="preserve"> These data were weighted during the calculations undertaken in Harvest.</w:t>
      </w:r>
    </w:p>
    <w:p w14:paraId="5B17CCCF" w14:textId="77777777" w:rsidR="00FC5481" w:rsidRPr="0033168F" w:rsidRDefault="00FC5481" w:rsidP="00B24C75">
      <w:pPr>
        <w:keepLines/>
      </w:pPr>
    </w:p>
    <w:p w14:paraId="4D952186" w14:textId="3F8B8812" w:rsidR="00B24C75" w:rsidRDefault="00B24C75" w:rsidP="00FC5481">
      <w:pPr>
        <w:rPr>
          <w:b/>
        </w:rPr>
      </w:pPr>
      <w:bookmarkStart w:id="1591" w:name="_Toc434566820"/>
      <w:bookmarkStart w:id="1592" w:name="_Toc508119313"/>
      <w:bookmarkStart w:id="1593" w:name="_Toc516668858"/>
      <w:bookmarkStart w:id="1594" w:name="_Toc517709911"/>
      <w:bookmarkStart w:id="1595" w:name="_Toc518388311"/>
      <w:bookmarkStart w:id="1596" w:name="_Toc518655009"/>
      <w:bookmarkStart w:id="1597" w:name="_Toc522719012"/>
      <w:bookmarkStart w:id="1598" w:name="_Toc522712050"/>
      <w:bookmarkStart w:id="1599" w:name="_Toc523830686"/>
      <w:bookmarkStart w:id="1600" w:name="_Toc526337856"/>
      <w:bookmarkStart w:id="1601" w:name="_Toc526343115"/>
      <w:bookmarkStart w:id="1602" w:name="_Toc38549519"/>
      <w:bookmarkStart w:id="1603" w:name="_Toc38634182"/>
      <w:bookmarkStart w:id="1604" w:name="_Toc39571061"/>
      <w:bookmarkStart w:id="1605" w:name="_Toc39579317"/>
      <w:bookmarkStart w:id="1606" w:name="_Toc39579380"/>
      <w:bookmarkStart w:id="1607" w:name="_Toc39587138"/>
      <w:bookmarkStart w:id="1608" w:name="_Toc39582530"/>
      <w:bookmarkStart w:id="1609" w:name="_Toc40264946"/>
      <w:bookmarkStart w:id="1610" w:name="_Toc40266422"/>
      <w:bookmarkStart w:id="1611" w:name="_Toc40279755"/>
      <w:bookmarkStart w:id="1612" w:name="_Toc40282057"/>
      <w:bookmarkStart w:id="1613" w:name="_Toc40282219"/>
      <w:bookmarkStart w:id="1614" w:name="_Toc40360549"/>
      <w:bookmarkStart w:id="1615" w:name="_Toc40353592"/>
      <w:bookmarkStart w:id="1616" w:name="_Toc40366939"/>
      <w:bookmarkStart w:id="1617" w:name="_Toc40368271"/>
      <w:bookmarkStart w:id="1618" w:name="_Toc40382877"/>
      <w:bookmarkStart w:id="1619" w:name="_Toc40431076"/>
      <w:bookmarkStart w:id="1620" w:name="_Toc40433014"/>
      <w:bookmarkStart w:id="1621" w:name="_Toc40447699"/>
      <w:bookmarkStart w:id="1622" w:name="_Toc40441228"/>
      <w:bookmarkStart w:id="1623" w:name="_Toc40448564"/>
      <w:bookmarkStart w:id="1624" w:name="_Toc40449992"/>
      <w:r w:rsidRPr="00FC5481">
        <w:rPr>
          <w:b/>
        </w:rPr>
        <w:t>2002 New Zealand National Children’s Nutrition Survey (2002 NZ CNS)</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14:paraId="66EFECE2" w14:textId="77777777" w:rsidR="00FC5481" w:rsidRPr="00FC5481" w:rsidRDefault="00FC5481" w:rsidP="00FC5481">
      <w:pPr>
        <w:rPr>
          <w:b/>
        </w:rPr>
      </w:pPr>
    </w:p>
    <w:p w14:paraId="6D33E838" w14:textId="2A6AA8C5" w:rsidR="00B24C75" w:rsidRPr="00BC485A" w:rsidRDefault="00B24C75" w:rsidP="00B24C75">
      <w:pPr>
        <w:autoSpaceDE w:val="0"/>
        <w:autoSpaceDN w:val="0"/>
        <w:adjustRightInd w:val="0"/>
      </w:pPr>
      <w:r w:rsidRPr="00BC485A">
        <w:t>The 2002 NZ</w:t>
      </w:r>
      <w:r>
        <w:t xml:space="preserve"> C</w:t>
      </w:r>
      <w:r w:rsidRPr="00BC485A">
        <w:t xml:space="preserve">NS 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w:t>
      </w:r>
      <w:r w:rsidRPr="00BC485A">
        <w:rPr>
          <w:lang w:eastAsia="en-AU"/>
        </w:rPr>
        <w:t xml:space="preserve">Only the Day 1 24-hour recall data for all respondents (excluding supplements) were used for this assessment. </w:t>
      </w:r>
      <w:r w:rsidRPr="00BC485A">
        <w:t xml:space="preserve">These data were weighted </w:t>
      </w:r>
      <w:r>
        <w:t>during the calculations undertaken</w:t>
      </w:r>
      <w:r w:rsidRPr="00BC485A">
        <w:t xml:space="preserve"> in Harvest.</w:t>
      </w:r>
    </w:p>
    <w:p w14:paraId="58D9580B" w14:textId="77777777" w:rsidR="00FC5481" w:rsidRPr="00BC485A" w:rsidRDefault="00FC5481" w:rsidP="00B24C75">
      <w:pPr>
        <w:autoSpaceDE w:val="0"/>
        <w:autoSpaceDN w:val="0"/>
        <w:adjustRightInd w:val="0"/>
      </w:pPr>
    </w:p>
    <w:p w14:paraId="7B60A4AD" w14:textId="593A74EB" w:rsidR="00B24C75" w:rsidRDefault="00B24C75" w:rsidP="00FC5481">
      <w:pPr>
        <w:rPr>
          <w:rFonts w:eastAsia="Calibri"/>
          <w:b/>
        </w:rPr>
      </w:pPr>
      <w:bookmarkStart w:id="1625" w:name="_Toc434566821"/>
      <w:bookmarkStart w:id="1626" w:name="_Toc508119314"/>
      <w:bookmarkStart w:id="1627" w:name="_Toc516668859"/>
      <w:bookmarkStart w:id="1628" w:name="_Toc517709912"/>
      <w:bookmarkStart w:id="1629" w:name="_Toc518388312"/>
      <w:bookmarkStart w:id="1630" w:name="_Toc518655010"/>
      <w:bookmarkStart w:id="1631" w:name="_Toc522719013"/>
      <w:bookmarkStart w:id="1632" w:name="_Toc522712051"/>
      <w:bookmarkStart w:id="1633" w:name="_Toc523830687"/>
      <w:bookmarkStart w:id="1634" w:name="_Toc526337857"/>
      <w:bookmarkStart w:id="1635" w:name="_Toc526343116"/>
      <w:bookmarkStart w:id="1636" w:name="_Toc38549520"/>
      <w:bookmarkStart w:id="1637" w:name="_Toc38634183"/>
      <w:bookmarkStart w:id="1638" w:name="_Toc39571062"/>
      <w:bookmarkStart w:id="1639" w:name="_Toc39579318"/>
      <w:bookmarkStart w:id="1640" w:name="_Toc39579381"/>
      <w:bookmarkStart w:id="1641" w:name="_Toc39587139"/>
      <w:bookmarkStart w:id="1642" w:name="_Toc39582531"/>
      <w:bookmarkStart w:id="1643" w:name="_Toc40264947"/>
      <w:bookmarkStart w:id="1644" w:name="_Toc40266423"/>
      <w:bookmarkStart w:id="1645" w:name="_Toc40279756"/>
      <w:bookmarkStart w:id="1646" w:name="_Toc40282058"/>
      <w:bookmarkStart w:id="1647" w:name="_Toc40282220"/>
      <w:bookmarkStart w:id="1648" w:name="_Toc40360550"/>
      <w:bookmarkStart w:id="1649" w:name="_Toc40353593"/>
      <w:bookmarkStart w:id="1650" w:name="_Toc40366940"/>
      <w:bookmarkStart w:id="1651" w:name="_Toc40368272"/>
      <w:bookmarkStart w:id="1652" w:name="_Toc40382878"/>
      <w:bookmarkStart w:id="1653" w:name="_Toc40431077"/>
      <w:bookmarkStart w:id="1654" w:name="_Toc40433015"/>
      <w:bookmarkStart w:id="1655" w:name="_Toc40447700"/>
      <w:bookmarkStart w:id="1656" w:name="_Toc40441229"/>
      <w:bookmarkStart w:id="1657" w:name="_Toc40448565"/>
      <w:bookmarkStart w:id="1658" w:name="_Toc40449993"/>
      <w:r w:rsidRPr="00FC5481">
        <w:rPr>
          <w:rFonts w:eastAsia="Calibri"/>
          <w:b/>
        </w:rPr>
        <w:t>2008-09 New Zealand Adult Nutrition Survey (2008 NZ ANS)</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32A4488B" w14:textId="77777777" w:rsidR="00FC5481" w:rsidRPr="00FC5481" w:rsidRDefault="00FC5481" w:rsidP="00FC5481">
      <w:pPr>
        <w:rPr>
          <w:b/>
        </w:rPr>
      </w:pPr>
    </w:p>
    <w:p w14:paraId="34D5FD1A" w14:textId="05E97CF2" w:rsidR="00B24C75" w:rsidRDefault="00B24C75" w:rsidP="00FC5481">
      <w:pPr>
        <w:rPr>
          <w:lang w:eastAsia="en-AU"/>
        </w:rPr>
      </w:pPr>
      <w:r w:rsidRPr="00BC485A">
        <w:rPr>
          <w:lang w:eastAsia="en-AU"/>
        </w:rPr>
        <w:t>The 2008 NZ</w:t>
      </w:r>
      <w:r>
        <w:rPr>
          <w:lang w:eastAsia="en-AU"/>
        </w:rPr>
        <w:t xml:space="preserve"> </w:t>
      </w:r>
      <w:r w:rsidRPr="00BC485A">
        <w:rPr>
          <w:lang w:eastAsia="en-AU"/>
        </w:rPr>
        <w:t xml:space="preserve">ANS provides comprehensive information on </w:t>
      </w:r>
      <w:r w:rsidR="00F51477">
        <w:rPr>
          <w:lang w:eastAsia="en-AU"/>
        </w:rPr>
        <w:t>food consumption for</w:t>
      </w:r>
      <w:r w:rsidRPr="00BC485A">
        <w:rPr>
          <w:lang w:eastAsia="en-AU"/>
        </w:rPr>
        <w:t xml:space="preserve"> a sample of 4,721 respondents aged 15 years and above. The survey was conducted on a stratified sample over a 12-month period from October 2008 to October 2009. The survey used a </w:t>
      </w:r>
      <w:r>
        <w:rPr>
          <w:lang w:eastAsia="en-AU"/>
        </w:rPr>
        <w:t>24</w:t>
      </w:r>
      <w:r>
        <w:rPr>
          <w:lang w:eastAsia="en-AU"/>
        </w:rPr>
        <w:noBreakHyphen/>
        <w:t>h</w:t>
      </w:r>
      <w:r w:rsidRPr="00BC485A">
        <w:rPr>
          <w:lang w:eastAsia="en-AU"/>
        </w:rPr>
        <w:t>our recall methodology with 25% of respondents also completing a second 24-hour recall.</w:t>
      </w:r>
      <w:r w:rsidRPr="00BC485A">
        <w:t xml:space="preserve"> The information collected in the 2008 NZ</w:t>
      </w:r>
      <w:r>
        <w:t xml:space="preserve"> </w:t>
      </w:r>
      <w:r w:rsidRPr="00BC485A">
        <w:t xml:space="preserve">ANS included food and nutrient intakes, dietary supplement use, socio-demographics, nutrition related health, and anthropometric measures. </w:t>
      </w:r>
      <w:r w:rsidRPr="00BC485A">
        <w:rPr>
          <w:lang w:eastAsia="en-AU"/>
        </w:rPr>
        <w:t>Only the Day 1 24-hour recall data for all respondents</w:t>
      </w:r>
      <w:r>
        <w:rPr>
          <w:lang w:eastAsia="en-AU"/>
        </w:rPr>
        <w:t xml:space="preserve"> (excluding supplements)</w:t>
      </w:r>
      <w:r w:rsidRPr="00BC485A">
        <w:rPr>
          <w:lang w:eastAsia="en-AU"/>
        </w:rPr>
        <w:t xml:space="preserve"> were used for this assessment. These data were weighted </w:t>
      </w:r>
      <w:r>
        <w:rPr>
          <w:lang w:eastAsia="en-AU"/>
        </w:rPr>
        <w:t>during the calculations undertaken</w:t>
      </w:r>
      <w:r w:rsidRPr="00BC485A">
        <w:rPr>
          <w:lang w:eastAsia="en-AU"/>
        </w:rPr>
        <w:t xml:space="preserve"> in Harvest.</w:t>
      </w:r>
      <w:bookmarkStart w:id="1659" w:name="_Toc360028639"/>
      <w:bookmarkEnd w:id="1659"/>
    </w:p>
    <w:p w14:paraId="5CE7FA62" w14:textId="77777777" w:rsidR="00B24C75" w:rsidRPr="00FC5481" w:rsidRDefault="00B24C75" w:rsidP="004A26DB">
      <w:pPr>
        <w:rPr>
          <w:b/>
          <w:lang w:bidi="ar-SA"/>
        </w:rPr>
      </w:pPr>
    </w:p>
    <w:p w14:paraId="76FF2461" w14:textId="2B03655B" w:rsidR="00F76307" w:rsidRDefault="00F76307" w:rsidP="00FC5481">
      <w:pPr>
        <w:rPr>
          <w:b/>
        </w:rPr>
      </w:pPr>
      <w:bookmarkStart w:id="1660" w:name="_Toc38549521"/>
      <w:bookmarkStart w:id="1661" w:name="_Toc38634184"/>
      <w:bookmarkStart w:id="1662" w:name="_Toc39571063"/>
      <w:bookmarkStart w:id="1663" w:name="_Toc39579319"/>
      <w:bookmarkStart w:id="1664" w:name="_Toc39579382"/>
      <w:bookmarkStart w:id="1665" w:name="_Toc39587140"/>
      <w:bookmarkStart w:id="1666" w:name="_Toc39582532"/>
      <w:bookmarkStart w:id="1667" w:name="_Toc40264948"/>
      <w:bookmarkStart w:id="1668" w:name="_Toc40266424"/>
      <w:bookmarkStart w:id="1669" w:name="_Toc40279757"/>
      <w:bookmarkStart w:id="1670" w:name="_Toc40282059"/>
      <w:bookmarkStart w:id="1671" w:name="_Toc40282221"/>
      <w:bookmarkStart w:id="1672" w:name="_Toc40360551"/>
      <w:bookmarkStart w:id="1673" w:name="_Toc40353594"/>
      <w:bookmarkStart w:id="1674" w:name="_Toc40366941"/>
      <w:bookmarkStart w:id="1675" w:name="_Toc40368273"/>
      <w:bookmarkStart w:id="1676" w:name="_Toc40382879"/>
      <w:bookmarkStart w:id="1677" w:name="_Toc40431078"/>
      <w:bookmarkStart w:id="1678" w:name="_Toc40433016"/>
      <w:bookmarkStart w:id="1679" w:name="_Toc40447701"/>
      <w:bookmarkStart w:id="1680" w:name="_Toc40441230"/>
      <w:bookmarkStart w:id="1681" w:name="_Toc40448566"/>
      <w:bookmarkStart w:id="1682" w:name="_Toc40449994"/>
      <w:r w:rsidRPr="00FC5481">
        <w:rPr>
          <w:b/>
        </w:rPr>
        <w:t>Consumption data for the assessment of dietary exposure to erucic acid and glucosinolates</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3C540F07" w14:textId="77777777" w:rsidR="00FC5481" w:rsidRPr="00FC5481" w:rsidRDefault="00FC5481" w:rsidP="00FC5481"/>
    <w:p w14:paraId="352389BC" w14:textId="6BFAD7E0" w:rsidR="00F76307" w:rsidRDefault="00F76307" w:rsidP="00F76307">
      <w:r w:rsidRPr="00047F90">
        <w:t xml:space="preserve">Consumption data for </w:t>
      </w:r>
      <w:r w:rsidR="00D15586" w:rsidRPr="00DA0240">
        <w:rPr>
          <w:i/>
          <w:lang w:bidi="ar-SA"/>
        </w:rPr>
        <w:t>Brassica</w:t>
      </w:r>
      <w:r w:rsidR="00D15586" w:rsidRPr="00047F90">
        <w:t xml:space="preserve"> </w:t>
      </w:r>
      <w:r w:rsidRPr="00047F90">
        <w:t>vegetables were extracted from the</w:t>
      </w:r>
      <w:r w:rsidR="004F1591">
        <w:t xml:space="preserve"> 2011-12 NNPAS, the</w:t>
      </w:r>
      <w:r w:rsidRPr="00047F90">
        <w:t xml:space="preserve"> 2002 NZ CNS</w:t>
      </w:r>
      <w:r w:rsidR="004F1591">
        <w:t xml:space="preserve">, and the </w:t>
      </w:r>
      <w:r w:rsidRPr="00047F90">
        <w:t>2008–09 NZ ANS.</w:t>
      </w:r>
    </w:p>
    <w:p w14:paraId="74FDDCBC" w14:textId="77777777" w:rsidR="00C56035" w:rsidRPr="00047F90" w:rsidRDefault="00C56035" w:rsidP="00F76307"/>
    <w:p w14:paraId="2F67CBBD" w14:textId="6F9E7433" w:rsidR="00F76307" w:rsidRPr="00047F90" w:rsidRDefault="00D15586" w:rsidP="00F76307">
      <w:r w:rsidRPr="00DA0240">
        <w:rPr>
          <w:i/>
          <w:lang w:bidi="ar-SA"/>
        </w:rPr>
        <w:t>Brassica</w:t>
      </w:r>
      <w:r w:rsidRPr="00047F90">
        <w:t xml:space="preserve"> </w:t>
      </w:r>
      <w:r w:rsidR="00F76307" w:rsidRPr="00047F90">
        <w:t xml:space="preserve">vegetables included in dietary exposure </w:t>
      </w:r>
      <w:r w:rsidR="004F1591">
        <w:t xml:space="preserve">assessment </w:t>
      </w:r>
      <w:r w:rsidR="00F76307" w:rsidRPr="00047F90">
        <w:t xml:space="preserve">were </w:t>
      </w:r>
      <w:r w:rsidR="00F51477">
        <w:t>b</w:t>
      </w:r>
      <w:r w:rsidR="00F76307" w:rsidRPr="00047F90">
        <w:t>roccoli, Brussels sprout</w:t>
      </w:r>
      <w:r w:rsidR="004F1591">
        <w:t>s</w:t>
      </w:r>
      <w:r w:rsidR="00F76307" w:rsidRPr="00047F90">
        <w:t xml:space="preserve">, </w:t>
      </w:r>
      <w:r w:rsidR="00F51477">
        <w:t>c</w:t>
      </w:r>
      <w:r w:rsidR="00F76307" w:rsidRPr="00047F90">
        <w:t xml:space="preserve">abbage head, </w:t>
      </w:r>
      <w:r w:rsidR="00F51477">
        <w:t>c</w:t>
      </w:r>
      <w:r w:rsidR="00F76307" w:rsidRPr="00047F90">
        <w:t xml:space="preserve">auliflower, Chinese cabbage and </w:t>
      </w:r>
      <w:r w:rsidR="00F51477">
        <w:t>k</w:t>
      </w:r>
      <w:r w:rsidR="00F76307" w:rsidRPr="00047F90">
        <w:t xml:space="preserve">ohlrabi because they are the most commonly consumed group of edible plants within </w:t>
      </w:r>
      <w:r w:rsidRPr="00DA0240">
        <w:rPr>
          <w:i/>
          <w:lang w:bidi="ar-SA"/>
        </w:rPr>
        <w:t>Brassica</w:t>
      </w:r>
      <w:r w:rsidRPr="00047F90">
        <w:t xml:space="preserve"> </w:t>
      </w:r>
      <w:r w:rsidR="00F76307" w:rsidRPr="00047F90">
        <w:t>genus.</w:t>
      </w:r>
    </w:p>
    <w:p w14:paraId="3BFFCE5A" w14:textId="77777777" w:rsidR="00F76307" w:rsidRPr="00047F90" w:rsidRDefault="00F76307" w:rsidP="00F76307"/>
    <w:p w14:paraId="5F9C317A" w14:textId="2F53D435" w:rsidR="00F76307" w:rsidRDefault="00F76307" w:rsidP="00F76307">
      <w:r w:rsidRPr="00047F90">
        <w:t xml:space="preserve">The available consumption data for four </w:t>
      </w:r>
      <w:r w:rsidR="00D15586" w:rsidRPr="00DA0240">
        <w:rPr>
          <w:i/>
          <w:lang w:bidi="ar-SA"/>
        </w:rPr>
        <w:t>Brassica</w:t>
      </w:r>
      <w:r w:rsidR="00D15586" w:rsidRPr="00047F90">
        <w:t xml:space="preserve"> </w:t>
      </w:r>
      <w:r w:rsidRPr="00047F90">
        <w:t xml:space="preserve">vegetables in the </w:t>
      </w:r>
      <w:r w:rsidR="004F1591">
        <w:t>H</w:t>
      </w:r>
      <w:r w:rsidRPr="00047F90">
        <w:t>arvest program namely broccoli, Brussel</w:t>
      </w:r>
      <w:r w:rsidR="00BA1BF6">
        <w:t>s</w:t>
      </w:r>
      <w:r w:rsidRPr="00047F90">
        <w:t xml:space="preserve"> sprouts, cabbage head and cauliflower</w:t>
      </w:r>
      <w:r w:rsidR="004F1591">
        <w:t>,</w:t>
      </w:r>
      <w:r w:rsidRPr="00047F90">
        <w:t xml:space="preserve"> were used in determining consumption data for all </w:t>
      </w:r>
      <w:r w:rsidR="00D15586" w:rsidRPr="00DA0240">
        <w:rPr>
          <w:i/>
          <w:lang w:bidi="ar-SA"/>
        </w:rPr>
        <w:t>Brassica</w:t>
      </w:r>
      <w:r w:rsidR="00D15586" w:rsidRPr="00047F90">
        <w:t xml:space="preserve"> </w:t>
      </w:r>
      <w:r w:rsidRPr="00047F90">
        <w:t xml:space="preserve">vegetables to use in the dietary exposure assessment. Consumption </w:t>
      </w:r>
      <w:r w:rsidR="004F1591">
        <w:t>of</w:t>
      </w:r>
      <w:r w:rsidRPr="00047F90">
        <w:t xml:space="preserve"> Chinese cabbage and kohlrabi were not reported in the survey</w:t>
      </w:r>
      <w:r w:rsidR="004F1591">
        <w:t>s</w:t>
      </w:r>
      <w:r w:rsidRPr="00047F90">
        <w:t>.</w:t>
      </w:r>
    </w:p>
    <w:p w14:paraId="5CE9545B" w14:textId="18D11096" w:rsidR="00A512D0" w:rsidRDefault="00A512D0" w:rsidP="00F76307"/>
    <w:p w14:paraId="2775FE32" w14:textId="504D4FD8" w:rsidR="00A512D0" w:rsidRPr="00047F90" w:rsidRDefault="00A512D0" w:rsidP="00F76307">
      <w:r w:rsidRPr="00047F90">
        <w:t>Mean and 90th percentile consumption data were extracted</w:t>
      </w:r>
      <w:r w:rsidR="007451F6">
        <w:t xml:space="preserve"> (see Table A1.1)</w:t>
      </w:r>
      <w:r w:rsidRPr="00047F90">
        <w:t>.</w:t>
      </w:r>
    </w:p>
    <w:p w14:paraId="1589C137" w14:textId="6452BD4F" w:rsidR="00F76307" w:rsidRPr="00FC5481" w:rsidRDefault="00F76307" w:rsidP="004A26DB">
      <w:pPr>
        <w:rPr>
          <w:b/>
          <w:i/>
        </w:rPr>
      </w:pPr>
    </w:p>
    <w:p w14:paraId="55355B7C" w14:textId="0347F037" w:rsidR="00CB5E49" w:rsidRDefault="00CB5E49" w:rsidP="00FC5481">
      <w:pPr>
        <w:rPr>
          <w:i/>
        </w:rPr>
      </w:pPr>
      <w:r w:rsidRPr="00FC5481">
        <w:rPr>
          <w:b/>
          <w:i/>
        </w:rPr>
        <w:t xml:space="preserve">Table </w:t>
      </w:r>
      <w:r w:rsidR="007451F6" w:rsidRPr="00FC5481">
        <w:rPr>
          <w:b/>
          <w:i/>
        </w:rPr>
        <w:t>A1.1</w:t>
      </w:r>
      <w:r>
        <w:rPr>
          <w:b/>
          <w:i/>
        </w:rPr>
        <w:t>.</w:t>
      </w:r>
      <w:r w:rsidR="00FC5481">
        <w:rPr>
          <w:b/>
          <w:i/>
          <w:iCs/>
        </w:rPr>
        <w:tab/>
      </w:r>
      <w:r w:rsidRPr="00FC5481">
        <w:rPr>
          <w:i/>
        </w:rPr>
        <w:t>Summary consumption data for Brassica for Australia and New Zealand used in</w:t>
      </w:r>
      <w:r w:rsidR="007451F6" w:rsidRPr="00FC5481">
        <w:rPr>
          <w:i/>
        </w:rPr>
        <w:t xml:space="preserve"> </w:t>
      </w:r>
      <w:r w:rsidRPr="00FC5481">
        <w:rPr>
          <w:i/>
        </w:rPr>
        <w:t>th</w:t>
      </w:r>
      <w:r w:rsidR="007451F6" w:rsidRPr="00FC5481">
        <w:rPr>
          <w:i/>
        </w:rPr>
        <w:t>e</w:t>
      </w:r>
      <w:r w:rsidRPr="00FC5481">
        <w:rPr>
          <w:i/>
        </w:rPr>
        <w:t xml:space="preserve"> deterministic calculations of dietary exposure to erucic acid and glucosinolates</w:t>
      </w:r>
    </w:p>
    <w:p w14:paraId="79D71491" w14:textId="77777777" w:rsidR="00FC5481" w:rsidRPr="00FC5481" w:rsidRDefault="00FC5481" w:rsidP="00FC5481">
      <w:pPr>
        <w:rPr>
          <w:i/>
          <w:iCs/>
        </w:rPr>
      </w:pPr>
    </w:p>
    <w:tbl>
      <w:tblPr>
        <w:tblStyle w:val="TableGrid"/>
        <w:tblW w:w="0" w:type="auto"/>
        <w:tblLayout w:type="fixed"/>
        <w:tblLook w:val="04A0" w:firstRow="1" w:lastRow="0" w:firstColumn="1" w:lastColumn="0" w:noHBand="0" w:noVBand="1"/>
        <w:tblCaption w:val="Table A1.1 Summary consumption data for Brassica for Australia and New Zealand used in the deterministic calculations of dietary exposure to erucic acid and glucosinolates"/>
        <w:tblDescription w:val="Table A1.1 has 6 columns, the first column is the country, the second column is  age group in years, the third column is the number of consumers, the fourth column is consumers as a proportion of respondents in percentage, the fifth column is the mean consumption in grams per consumer per day and sixth column is the 90th percentile in grams per consumer per day.  Total number of respondents: Australia 2 years and above = 7735; New Zealand 5-14 years = 3275; New Zealand 15 years and above =  4721.&#10;Two day average data used for Australia; one day only data used for New Zealand.&#10; "/>
      </w:tblPr>
      <w:tblGrid>
        <w:gridCol w:w="1129"/>
        <w:gridCol w:w="1985"/>
        <w:gridCol w:w="1417"/>
        <w:gridCol w:w="1560"/>
        <w:gridCol w:w="1484"/>
        <w:gridCol w:w="1485"/>
      </w:tblGrid>
      <w:tr w:rsidR="00CB5E49" w:rsidRPr="00CB5E49" w14:paraId="6D45662A" w14:textId="77777777" w:rsidTr="00F51477">
        <w:tc>
          <w:tcPr>
            <w:tcW w:w="1129" w:type="dxa"/>
            <w:vMerge w:val="restart"/>
            <w:vAlign w:val="bottom"/>
          </w:tcPr>
          <w:p w14:paraId="003A333F" w14:textId="6F04A3B0" w:rsidR="00CB5E49" w:rsidRPr="00A1441A" w:rsidRDefault="00CB5E49">
            <w:pPr>
              <w:keepNext/>
              <w:keepLines/>
              <w:rPr>
                <w:b/>
                <w:lang w:bidi="ar-SA"/>
              </w:rPr>
            </w:pPr>
            <w:r w:rsidRPr="00A1441A">
              <w:rPr>
                <w:b/>
                <w:lang w:bidi="ar-SA"/>
              </w:rPr>
              <w:t>Country</w:t>
            </w:r>
          </w:p>
        </w:tc>
        <w:tc>
          <w:tcPr>
            <w:tcW w:w="1985" w:type="dxa"/>
            <w:vMerge w:val="restart"/>
            <w:vAlign w:val="bottom"/>
          </w:tcPr>
          <w:p w14:paraId="53CCB2A1" w14:textId="088128F9" w:rsidR="00CB5E49" w:rsidRPr="00A1441A" w:rsidRDefault="00CB5E49">
            <w:pPr>
              <w:keepNext/>
              <w:keepLines/>
              <w:rPr>
                <w:b/>
                <w:lang w:bidi="ar-SA"/>
              </w:rPr>
            </w:pPr>
            <w:r w:rsidRPr="00A1441A">
              <w:rPr>
                <w:b/>
                <w:lang w:bidi="ar-SA"/>
              </w:rPr>
              <w:t>Age group</w:t>
            </w:r>
          </w:p>
        </w:tc>
        <w:tc>
          <w:tcPr>
            <w:tcW w:w="1417" w:type="dxa"/>
            <w:vMerge w:val="restart"/>
            <w:vAlign w:val="bottom"/>
          </w:tcPr>
          <w:p w14:paraId="6EEDB3E9" w14:textId="62DE2E49" w:rsidR="00CB5E49" w:rsidRPr="00A1441A" w:rsidRDefault="00CB5E49" w:rsidP="00DA117C">
            <w:pPr>
              <w:keepNext/>
              <w:keepLines/>
              <w:jc w:val="right"/>
              <w:rPr>
                <w:b/>
                <w:lang w:bidi="ar-SA"/>
              </w:rPr>
            </w:pPr>
            <w:r w:rsidRPr="00A1441A">
              <w:rPr>
                <w:b/>
                <w:lang w:bidi="ar-SA"/>
              </w:rPr>
              <w:t>Number of consumers</w:t>
            </w:r>
          </w:p>
        </w:tc>
        <w:tc>
          <w:tcPr>
            <w:tcW w:w="1560" w:type="dxa"/>
            <w:vMerge w:val="restart"/>
            <w:vAlign w:val="bottom"/>
          </w:tcPr>
          <w:p w14:paraId="301BEFAD" w14:textId="7A7F8264" w:rsidR="00CB5E49" w:rsidRPr="00A1441A" w:rsidRDefault="00CB5E49">
            <w:pPr>
              <w:keepNext/>
              <w:keepLines/>
              <w:jc w:val="right"/>
              <w:rPr>
                <w:b/>
                <w:lang w:bidi="ar-SA"/>
              </w:rPr>
            </w:pPr>
            <w:r w:rsidRPr="00A1441A">
              <w:rPr>
                <w:b/>
                <w:lang w:bidi="ar-SA"/>
              </w:rPr>
              <w:t>Proportion of consumers to respondents</w:t>
            </w:r>
            <w:r w:rsidR="00DA117C" w:rsidRPr="00A1441A">
              <w:rPr>
                <w:b/>
                <w:lang w:bidi="ar-SA"/>
              </w:rPr>
              <w:t>*</w:t>
            </w:r>
            <w:r w:rsidR="00B3490F">
              <w:rPr>
                <w:b/>
                <w:lang w:bidi="ar-SA"/>
              </w:rPr>
              <w:t xml:space="preserve"> (%)</w:t>
            </w:r>
          </w:p>
        </w:tc>
        <w:tc>
          <w:tcPr>
            <w:tcW w:w="2969" w:type="dxa"/>
            <w:gridSpan w:val="2"/>
            <w:vAlign w:val="bottom"/>
          </w:tcPr>
          <w:p w14:paraId="3AC68768" w14:textId="70000E39" w:rsidR="00CB5E49" w:rsidRPr="00A1441A" w:rsidRDefault="00CB5E49">
            <w:pPr>
              <w:keepNext/>
              <w:keepLines/>
              <w:jc w:val="center"/>
              <w:rPr>
                <w:b/>
                <w:lang w:bidi="ar-SA"/>
              </w:rPr>
            </w:pPr>
            <w:r w:rsidRPr="00A1441A">
              <w:rPr>
                <w:b/>
                <w:lang w:bidi="ar-SA"/>
              </w:rPr>
              <w:t>Consumption (</w:t>
            </w:r>
            <w:r w:rsidR="007451F6">
              <w:rPr>
                <w:b/>
                <w:lang w:bidi="ar-SA"/>
              </w:rPr>
              <w:t>g</w:t>
            </w:r>
            <w:r w:rsidRPr="00A1441A">
              <w:rPr>
                <w:b/>
                <w:lang w:bidi="ar-SA"/>
              </w:rPr>
              <w:t>rams/consumer/day)*</w:t>
            </w:r>
            <w:r w:rsidR="00DA117C">
              <w:rPr>
                <w:b/>
                <w:lang w:bidi="ar-SA"/>
              </w:rPr>
              <w:t>*</w:t>
            </w:r>
          </w:p>
        </w:tc>
      </w:tr>
      <w:tr w:rsidR="00CB5E49" w:rsidRPr="00CB5E49" w14:paraId="79581EF9" w14:textId="77777777" w:rsidTr="00F51477">
        <w:tc>
          <w:tcPr>
            <w:tcW w:w="1129" w:type="dxa"/>
            <w:vMerge/>
            <w:vAlign w:val="bottom"/>
          </w:tcPr>
          <w:p w14:paraId="1A6D3ABE" w14:textId="77777777" w:rsidR="00CB5E49" w:rsidRPr="00A1441A" w:rsidRDefault="00CB5E49">
            <w:pPr>
              <w:keepNext/>
              <w:keepLines/>
              <w:rPr>
                <w:b/>
                <w:lang w:bidi="ar-SA"/>
              </w:rPr>
            </w:pPr>
          </w:p>
        </w:tc>
        <w:tc>
          <w:tcPr>
            <w:tcW w:w="1985" w:type="dxa"/>
            <w:vMerge/>
            <w:vAlign w:val="bottom"/>
          </w:tcPr>
          <w:p w14:paraId="6B734AA3" w14:textId="77777777" w:rsidR="00CB5E49" w:rsidRPr="00A1441A" w:rsidRDefault="00CB5E49">
            <w:pPr>
              <w:keepNext/>
              <w:keepLines/>
              <w:rPr>
                <w:b/>
                <w:lang w:bidi="ar-SA"/>
              </w:rPr>
            </w:pPr>
          </w:p>
        </w:tc>
        <w:tc>
          <w:tcPr>
            <w:tcW w:w="1417" w:type="dxa"/>
            <w:vMerge/>
          </w:tcPr>
          <w:p w14:paraId="41033139" w14:textId="77777777" w:rsidR="00CB5E49" w:rsidRPr="00A1441A" w:rsidRDefault="00CB5E49">
            <w:pPr>
              <w:keepNext/>
              <w:keepLines/>
              <w:jc w:val="right"/>
              <w:rPr>
                <w:b/>
                <w:lang w:bidi="ar-SA"/>
              </w:rPr>
            </w:pPr>
          </w:p>
        </w:tc>
        <w:tc>
          <w:tcPr>
            <w:tcW w:w="1560" w:type="dxa"/>
            <w:vMerge/>
          </w:tcPr>
          <w:p w14:paraId="328421AA" w14:textId="77777777" w:rsidR="00CB5E49" w:rsidRPr="00A1441A" w:rsidRDefault="00CB5E49">
            <w:pPr>
              <w:keepNext/>
              <w:keepLines/>
              <w:jc w:val="right"/>
              <w:rPr>
                <w:b/>
                <w:lang w:bidi="ar-SA"/>
              </w:rPr>
            </w:pPr>
          </w:p>
        </w:tc>
        <w:tc>
          <w:tcPr>
            <w:tcW w:w="1484" w:type="dxa"/>
            <w:vAlign w:val="bottom"/>
          </w:tcPr>
          <w:p w14:paraId="76386C54" w14:textId="448215D4" w:rsidR="00CB5E49" w:rsidRPr="00A1441A" w:rsidRDefault="00CB5E49">
            <w:pPr>
              <w:keepNext/>
              <w:keepLines/>
              <w:jc w:val="right"/>
              <w:rPr>
                <w:b/>
                <w:lang w:bidi="ar-SA"/>
              </w:rPr>
            </w:pPr>
            <w:r w:rsidRPr="00A1441A">
              <w:rPr>
                <w:b/>
                <w:lang w:bidi="ar-SA"/>
              </w:rPr>
              <w:t>Mean</w:t>
            </w:r>
          </w:p>
        </w:tc>
        <w:tc>
          <w:tcPr>
            <w:tcW w:w="1485" w:type="dxa"/>
            <w:vAlign w:val="bottom"/>
          </w:tcPr>
          <w:p w14:paraId="120C34F4" w14:textId="36A09D5C" w:rsidR="00CB5E49" w:rsidRPr="00A1441A" w:rsidRDefault="00CB5E49">
            <w:pPr>
              <w:keepNext/>
              <w:keepLines/>
              <w:jc w:val="right"/>
              <w:rPr>
                <w:b/>
                <w:lang w:bidi="ar-SA"/>
              </w:rPr>
            </w:pPr>
            <w:r w:rsidRPr="00A1441A">
              <w:rPr>
                <w:b/>
                <w:lang w:bidi="ar-SA"/>
              </w:rPr>
              <w:t>90</w:t>
            </w:r>
            <w:r w:rsidRPr="00A1441A">
              <w:rPr>
                <w:b/>
                <w:vertAlign w:val="superscript"/>
                <w:lang w:bidi="ar-SA"/>
              </w:rPr>
              <w:t>th</w:t>
            </w:r>
            <w:r w:rsidRPr="00A1441A">
              <w:rPr>
                <w:b/>
                <w:lang w:bidi="ar-SA"/>
              </w:rPr>
              <w:t xml:space="preserve"> percentile</w:t>
            </w:r>
          </w:p>
        </w:tc>
      </w:tr>
      <w:tr w:rsidR="00CB5E49" w14:paraId="5911FBCD" w14:textId="77777777" w:rsidTr="00F51477">
        <w:tc>
          <w:tcPr>
            <w:tcW w:w="1129" w:type="dxa"/>
            <w:tcBorders>
              <w:bottom w:val="single" w:sz="4" w:space="0" w:color="000000"/>
            </w:tcBorders>
          </w:tcPr>
          <w:p w14:paraId="0F29C685" w14:textId="0BC0236C" w:rsidR="00CB5E49" w:rsidRPr="00943559" w:rsidRDefault="00CB5E49">
            <w:pPr>
              <w:keepNext/>
              <w:keepLines/>
              <w:rPr>
                <w:rFonts w:cs="Arial"/>
                <w:sz w:val="20"/>
                <w:szCs w:val="20"/>
                <w:lang w:bidi="ar-SA"/>
              </w:rPr>
            </w:pPr>
            <w:r w:rsidRPr="00943559">
              <w:rPr>
                <w:rFonts w:cs="Arial"/>
                <w:sz w:val="20"/>
                <w:szCs w:val="20"/>
                <w:lang w:bidi="ar-SA"/>
              </w:rPr>
              <w:t>Australia</w:t>
            </w:r>
          </w:p>
        </w:tc>
        <w:tc>
          <w:tcPr>
            <w:tcW w:w="1985" w:type="dxa"/>
          </w:tcPr>
          <w:p w14:paraId="50B1964F" w14:textId="38684B7F" w:rsidR="00CB5E49" w:rsidRPr="00943559" w:rsidRDefault="00CB5E49">
            <w:pPr>
              <w:keepNext/>
              <w:keepLines/>
              <w:rPr>
                <w:rFonts w:cs="Arial"/>
                <w:sz w:val="20"/>
                <w:szCs w:val="20"/>
                <w:lang w:bidi="ar-SA"/>
              </w:rPr>
            </w:pPr>
            <w:r w:rsidRPr="00943559">
              <w:rPr>
                <w:rFonts w:cs="Arial"/>
                <w:sz w:val="20"/>
                <w:szCs w:val="20"/>
                <w:lang w:bidi="ar-SA"/>
              </w:rPr>
              <w:t>2 years and above</w:t>
            </w:r>
          </w:p>
        </w:tc>
        <w:tc>
          <w:tcPr>
            <w:tcW w:w="1417" w:type="dxa"/>
            <w:vAlign w:val="bottom"/>
          </w:tcPr>
          <w:p w14:paraId="47E0452B" w14:textId="79DEF44A" w:rsidR="00CB5E49" w:rsidRDefault="00B3490F" w:rsidP="00F51477">
            <w:pPr>
              <w:pStyle w:val="FSTableText"/>
              <w:jc w:val="right"/>
              <w:rPr>
                <w:lang w:bidi="ar-SA"/>
              </w:rPr>
            </w:pPr>
            <w:r>
              <w:rPr>
                <w:lang w:bidi="ar-SA"/>
              </w:rPr>
              <w:t>5330</w:t>
            </w:r>
          </w:p>
        </w:tc>
        <w:tc>
          <w:tcPr>
            <w:tcW w:w="1560" w:type="dxa"/>
          </w:tcPr>
          <w:p w14:paraId="48FDE524" w14:textId="77777777" w:rsidR="00B3490F" w:rsidRDefault="00B3490F" w:rsidP="00F51477">
            <w:pPr>
              <w:pStyle w:val="FSTableText"/>
              <w:jc w:val="right"/>
              <w:rPr>
                <w:lang w:bidi="ar-SA"/>
              </w:rPr>
            </w:pPr>
          </w:p>
          <w:p w14:paraId="01CA4EC1" w14:textId="0916C12F" w:rsidR="00CB5E49" w:rsidRDefault="00B3490F" w:rsidP="00F51477">
            <w:pPr>
              <w:pStyle w:val="FSTableText"/>
              <w:jc w:val="right"/>
              <w:rPr>
                <w:lang w:bidi="ar-SA"/>
              </w:rPr>
            </w:pPr>
            <w:r>
              <w:rPr>
                <w:lang w:bidi="ar-SA"/>
              </w:rPr>
              <w:t>69</w:t>
            </w:r>
          </w:p>
        </w:tc>
        <w:tc>
          <w:tcPr>
            <w:tcW w:w="1484" w:type="dxa"/>
            <w:vAlign w:val="bottom"/>
          </w:tcPr>
          <w:p w14:paraId="493BE435" w14:textId="77967F3C" w:rsidR="00CB5E49" w:rsidRDefault="00DA117C" w:rsidP="00F51477">
            <w:pPr>
              <w:pStyle w:val="FSTableText"/>
              <w:jc w:val="right"/>
              <w:rPr>
                <w:lang w:bidi="ar-SA"/>
              </w:rPr>
            </w:pPr>
            <w:r>
              <w:rPr>
                <w:lang w:bidi="ar-SA"/>
              </w:rPr>
              <w:t>23</w:t>
            </w:r>
          </w:p>
        </w:tc>
        <w:tc>
          <w:tcPr>
            <w:tcW w:w="1485" w:type="dxa"/>
            <w:vAlign w:val="bottom"/>
          </w:tcPr>
          <w:p w14:paraId="19AE9189" w14:textId="639C1B3A" w:rsidR="00CB5E49" w:rsidRDefault="00DA117C" w:rsidP="00F51477">
            <w:pPr>
              <w:pStyle w:val="FSTableText"/>
              <w:jc w:val="right"/>
              <w:rPr>
                <w:lang w:bidi="ar-SA"/>
              </w:rPr>
            </w:pPr>
            <w:r>
              <w:rPr>
                <w:lang w:bidi="ar-SA"/>
              </w:rPr>
              <w:t>61</w:t>
            </w:r>
          </w:p>
        </w:tc>
      </w:tr>
      <w:tr w:rsidR="00CB5E49" w14:paraId="3DBCA034" w14:textId="77777777" w:rsidTr="00F51477">
        <w:tc>
          <w:tcPr>
            <w:tcW w:w="1129" w:type="dxa"/>
            <w:tcBorders>
              <w:bottom w:val="nil"/>
            </w:tcBorders>
          </w:tcPr>
          <w:p w14:paraId="44A92859" w14:textId="2E34DBF3" w:rsidR="00CB5E49" w:rsidRPr="00943559" w:rsidRDefault="00CB5E49">
            <w:pPr>
              <w:keepNext/>
              <w:keepLines/>
              <w:rPr>
                <w:rFonts w:cs="Arial"/>
                <w:sz w:val="20"/>
                <w:szCs w:val="20"/>
                <w:lang w:bidi="ar-SA"/>
              </w:rPr>
            </w:pPr>
            <w:r w:rsidRPr="00943559">
              <w:rPr>
                <w:rFonts w:cs="Arial"/>
                <w:sz w:val="20"/>
                <w:szCs w:val="20"/>
                <w:lang w:bidi="ar-SA"/>
              </w:rPr>
              <w:t>New Zealand</w:t>
            </w:r>
          </w:p>
        </w:tc>
        <w:tc>
          <w:tcPr>
            <w:tcW w:w="1985" w:type="dxa"/>
          </w:tcPr>
          <w:p w14:paraId="287DBBC5" w14:textId="59730B89" w:rsidR="00CB5E49" w:rsidRPr="00943559" w:rsidRDefault="00CB5E49">
            <w:pPr>
              <w:keepNext/>
              <w:keepLines/>
              <w:rPr>
                <w:rFonts w:cs="Arial"/>
                <w:sz w:val="20"/>
                <w:szCs w:val="20"/>
                <w:lang w:bidi="ar-SA"/>
              </w:rPr>
            </w:pPr>
            <w:r w:rsidRPr="00943559">
              <w:rPr>
                <w:rFonts w:cs="Arial"/>
                <w:sz w:val="20"/>
                <w:szCs w:val="20"/>
                <w:lang w:bidi="ar-SA"/>
              </w:rPr>
              <w:t>5-14 years</w:t>
            </w:r>
          </w:p>
        </w:tc>
        <w:tc>
          <w:tcPr>
            <w:tcW w:w="1417" w:type="dxa"/>
            <w:vAlign w:val="bottom"/>
          </w:tcPr>
          <w:p w14:paraId="7A993B72" w14:textId="074E2C93" w:rsidR="00CB5E49" w:rsidRDefault="00B3490F" w:rsidP="00F51477">
            <w:pPr>
              <w:pStyle w:val="FSTableText"/>
              <w:jc w:val="right"/>
              <w:rPr>
                <w:lang w:bidi="ar-SA"/>
              </w:rPr>
            </w:pPr>
            <w:r>
              <w:rPr>
                <w:lang w:bidi="ar-SA"/>
              </w:rPr>
              <w:t>763</w:t>
            </w:r>
          </w:p>
        </w:tc>
        <w:tc>
          <w:tcPr>
            <w:tcW w:w="1560" w:type="dxa"/>
          </w:tcPr>
          <w:p w14:paraId="57C6C0AB" w14:textId="77777777" w:rsidR="000571A1" w:rsidRDefault="000571A1" w:rsidP="00F51477">
            <w:pPr>
              <w:pStyle w:val="FSTableText"/>
              <w:jc w:val="right"/>
              <w:rPr>
                <w:lang w:bidi="ar-SA"/>
              </w:rPr>
            </w:pPr>
          </w:p>
          <w:p w14:paraId="638A7E2C" w14:textId="7E23E85E" w:rsidR="00CB5E49" w:rsidRDefault="00B3490F" w:rsidP="00F51477">
            <w:pPr>
              <w:pStyle w:val="FSTableText"/>
              <w:jc w:val="right"/>
              <w:rPr>
                <w:lang w:bidi="ar-SA"/>
              </w:rPr>
            </w:pPr>
            <w:r>
              <w:rPr>
                <w:lang w:bidi="ar-SA"/>
              </w:rPr>
              <w:t>23</w:t>
            </w:r>
          </w:p>
        </w:tc>
        <w:tc>
          <w:tcPr>
            <w:tcW w:w="1484" w:type="dxa"/>
            <w:vAlign w:val="bottom"/>
          </w:tcPr>
          <w:p w14:paraId="4CE91837" w14:textId="76CD78C7" w:rsidR="00CB5E49" w:rsidRDefault="00DA117C" w:rsidP="00F51477">
            <w:pPr>
              <w:pStyle w:val="FSTableText"/>
              <w:jc w:val="right"/>
              <w:rPr>
                <w:lang w:bidi="ar-SA"/>
              </w:rPr>
            </w:pPr>
            <w:r>
              <w:rPr>
                <w:lang w:bidi="ar-SA"/>
              </w:rPr>
              <w:t>57</w:t>
            </w:r>
          </w:p>
        </w:tc>
        <w:tc>
          <w:tcPr>
            <w:tcW w:w="1485" w:type="dxa"/>
            <w:vAlign w:val="bottom"/>
          </w:tcPr>
          <w:p w14:paraId="53173E44" w14:textId="439F5C09" w:rsidR="00CB5E49" w:rsidRDefault="00DA117C" w:rsidP="00F51477">
            <w:pPr>
              <w:pStyle w:val="FSTableText"/>
              <w:jc w:val="right"/>
              <w:rPr>
                <w:lang w:bidi="ar-SA"/>
              </w:rPr>
            </w:pPr>
            <w:r>
              <w:rPr>
                <w:lang w:bidi="ar-SA"/>
              </w:rPr>
              <w:t>134</w:t>
            </w:r>
          </w:p>
        </w:tc>
      </w:tr>
      <w:tr w:rsidR="00CB5E49" w14:paraId="40D5F61A" w14:textId="77777777" w:rsidTr="00F51477">
        <w:tc>
          <w:tcPr>
            <w:tcW w:w="1129" w:type="dxa"/>
            <w:tcBorders>
              <w:top w:val="nil"/>
            </w:tcBorders>
          </w:tcPr>
          <w:p w14:paraId="085ABB24" w14:textId="77777777" w:rsidR="00CB5E49" w:rsidRPr="00943559" w:rsidRDefault="00CB5E49">
            <w:pPr>
              <w:keepNext/>
              <w:keepLines/>
              <w:rPr>
                <w:rFonts w:cs="Arial"/>
                <w:sz w:val="20"/>
                <w:szCs w:val="20"/>
                <w:lang w:bidi="ar-SA"/>
              </w:rPr>
            </w:pPr>
          </w:p>
        </w:tc>
        <w:tc>
          <w:tcPr>
            <w:tcW w:w="1985" w:type="dxa"/>
          </w:tcPr>
          <w:p w14:paraId="1BCA1C29" w14:textId="4B006049" w:rsidR="00CB5E49" w:rsidRPr="00943559" w:rsidRDefault="00CB5E49">
            <w:pPr>
              <w:keepNext/>
              <w:keepLines/>
              <w:rPr>
                <w:rFonts w:cs="Arial"/>
                <w:sz w:val="20"/>
                <w:szCs w:val="20"/>
                <w:lang w:bidi="ar-SA"/>
              </w:rPr>
            </w:pPr>
            <w:r w:rsidRPr="00943559">
              <w:rPr>
                <w:rFonts w:cs="Arial"/>
                <w:sz w:val="20"/>
                <w:szCs w:val="20"/>
                <w:lang w:bidi="ar-SA"/>
              </w:rPr>
              <w:t>15 years and above</w:t>
            </w:r>
          </w:p>
        </w:tc>
        <w:tc>
          <w:tcPr>
            <w:tcW w:w="1417" w:type="dxa"/>
            <w:vAlign w:val="bottom"/>
          </w:tcPr>
          <w:p w14:paraId="33A720B2" w14:textId="1648FDF1" w:rsidR="00CB5E49" w:rsidRDefault="00B3490F" w:rsidP="00F51477">
            <w:pPr>
              <w:pStyle w:val="FSTableText"/>
              <w:jc w:val="right"/>
              <w:rPr>
                <w:lang w:bidi="ar-SA"/>
              </w:rPr>
            </w:pPr>
            <w:r>
              <w:rPr>
                <w:lang w:bidi="ar-SA"/>
              </w:rPr>
              <w:t>1469</w:t>
            </w:r>
          </w:p>
        </w:tc>
        <w:tc>
          <w:tcPr>
            <w:tcW w:w="1560" w:type="dxa"/>
          </w:tcPr>
          <w:p w14:paraId="353026CD" w14:textId="77777777" w:rsidR="000571A1" w:rsidRDefault="000571A1" w:rsidP="00F51477">
            <w:pPr>
              <w:pStyle w:val="FSTableText"/>
              <w:jc w:val="right"/>
              <w:rPr>
                <w:lang w:bidi="ar-SA"/>
              </w:rPr>
            </w:pPr>
          </w:p>
          <w:p w14:paraId="2D9E114D" w14:textId="289785A9" w:rsidR="00CB5E49" w:rsidRDefault="00B3490F" w:rsidP="00F51477">
            <w:pPr>
              <w:pStyle w:val="FSTableText"/>
              <w:jc w:val="right"/>
              <w:rPr>
                <w:lang w:bidi="ar-SA"/>
              </w:rPr>
            </w:pPr>
            <w:r>
              <w:rPr>
                <w:lang w:bidi="ar-SA"/>
              </w:rPr>
              <w:t>3</w:t>
            </w:r>
            <w:r w:rsidR="000571A1">
              <w:rPr>
                <w:lang w:bidi="ar-SA"/>
              </w:rPr>
              <w:t>1</w:t>
            </w:r>
          </w:p>
        </w:tc>
        <w:tc>
          <w:tcPr>
            <w:tcW w:w="1484" w:type="dxa"/>
            <w:vAlign w:val="bottom"/>
          </w:tcPr>
          <w:p w14:paraId="754079DB" w14:textId="539A94EB" w:rsidR="00CB5E49" w:rsidRDefault="00DA117C" w:rsidP="00F51477">
            <w:pPr>
              <w:pStyle w:val="FSTableText"/>
              <w:jc w:val="right"/>
              <w:rPr>
                <w:lang w:bidi="ar-SA"/>
              </w:rPr>
            </w:pPr>
            <w:r>
              <w:rPr>
                <w:lang w:bidi="ar-SA"/>
              </w:rPr>
              <w:t>80</w:t>
            </w:r>
          </w:p>
        </w:tc>
        <w:tc>
          <w:tcPr>
            <w:tcW w:w="1485" w:type="dxa"/>
            <w:vAlign w:val="bottom"/>
          </w:tcPr>
          <w:p w14:paraId="240A7923" w14:textId="6C4FD86E" w:rsidR="00CB5E49" w:rsidRDefault="00DA117C" w:rsidP="00F51477">
            <w:pPr>
              <w:pStyle w:val="FSTableText"/>
              <w:jc w:val="right"/>
              <w:rPr>
                <w:lang w:bidi="ar-SA"/>
              </w:rPr>
            </w:pPr>
            <w:r>
              <w:rPr>
                <w:lang w:bidi="ar-SA"/>
              </w:rPr>
              <w:t>171</w:t>
            </w:r>
          </w:p>
        </w:tc>
      </w:tr>
    </w:tbl>
    <w:p w14:paraId="732E9221" w14:textId="717A0D37" w:rsidR="00DA117C" w:rsidRDefault="00DA117C">
      <w:pPr>
        <w:keepNext/>
        <w:keepLines/>
        <w:rPr>
          <w:sz w:val="18"/>
          <w:lang w:bidi="ar-SA"/>
        </w:rPr>
      </w:pPr>
      <w:r>
        <w:rPr>
          <w:sz w:val="18"/>
          <w:lang w:bidi="ar-SA"/>
        </w:rPr>
        <w:t>* Total number of respondents: Australia</w:t>
      </w:r>
      <w:r w:rsidR="00B3490F">
        <w:rPr>
          <w:sz w:val="18"/>
          <w:lang w:bidi="ar-SA"/>
        </w:rPr>
        <w:t xml:space="preserve"> </w:t>
      </w:r>
      <w:r>
        <w:rPr>
          <w:sz w:val="18"/>
          <w:lang w:bidi="ar-SA"/>
        </w:rPr>
        <w:t xml:space="preserve">2 years and above = 7735; New Zealand 5-14 years = 3275; New </w:t>
      </w:r>
      <w:r w:rsidR="00D14D4B">
        <w:rPr>
          <w:sz w:val="18"/>
          <w:lang w:bidi="ar-SA"/>
        </w:rPr>
        <w:t xml:space="preserve">Zealand 15 years and above = </w:t>
      </w:r>
      <w:r>
        <w:rPr>
          <w:sz w:val="18"/>
          <w:lang w:bidi="ar-SA"/>
        </w:rPr>
        <w:t>4721.</w:t>
      </w:r>
    </w:p>
    <w:p w14:paraId="5163BAD3" w14:textId="339084E3" w:rsidR="00CB5E49" w:rsidRDefault="00DA117C">
      <w:pPr>
        <w:keepNext/>
        <w:keepLines/>
        <w:rPr>
          <w:sz w:val="18"/>
          <w:lang w:bidi="ar-SA"/>
        </w:rPr>
      </w:pPr>
      <w:r>
        <w:rPr>
          <w:sz w:val="18"/>
          <w:lang w:bidi="ar-SA"/>
        </w:rPr>
        <w:t>*</w:t>
      </w:r>
      <w:r w:rsidR="00CB5E49" w:rsidRPr="007451F6">
        <w:rPr>
          <w:sz w:val="18"/>
          <w:lang w:bidi="ar-SA"/>
        </w:rPr>
        <w:t>* Two day average used for Australia; one day only data used for New Zealand.</w:t>
      </w:r>
      <w:r w:rsidR="00256327">
        <w:rPr>
          <w:sz w:val="18"/>
          <w:lang w:bidi="ar-SA"/>
        </w:rPr>
        <w:t xml:space="preserve"> Day 1 only results for Australia are a mean of 33 g/day and 90</w:t>
      </w:r>
      <w:r w:rsidR="00256327" w:rsidRPr="00256327">
        <w:rPr>
          <w:sz w:val="18"/>
          <w:vertAlign w:val="superscript"/>
          <w:lang w:bidi="ar-SA"/>
        </w:rPr>
        <w:t>th</w:t>
      </w:r>
      <w:r w:rsidR="00256327">
        <w:rPr>
          <w:sz w:val="18"/>
          <w:lang w:bidi="ar-SA"/>
        </w:rPr>
        <w:t xml:space="preserve"> percentile of 92 g/day.</w:t>
      </w:r>
    </w:p>
    <w:p w14:paraId="4A46BB13" w14:textId="77777777" w:rsidR="00256327" w:rsidRDefault="00256327" w:rsidP="00256327">
      <w:pPr>
        <w:rPr>
          <w:lang w:bidi="ar-SA"/>
        </w:rPr>
      </w:pPr>
    </w:p>
    <w:p w14:paraId="5C71537A" w14:textId="77777777" w:rsidR="00AB6232" w:rsidRDefault="00AB6232">
      <w:pPr>
        <w:widowControl/>
        <w:rPr>
          <w:rFonts w:cs="Arial"/>
          <w:b/>
          <w:bCs/>
          <w:sz w:val="28"/>
          <w:szCs w:val="22"/>
          <w:lang w:bidi="ar-SA"/>
        </w:rPr>
      </w:pPr>
      <w:bookmarkStart w:id="1683" w:name="_Toc38549522"/>
      <w:bookmarkStart w:id="1684" w:name="_Toc38634185"/>
      <w:bookmarkStart w:id="1685" w:name="_Toc39571064"/>
      <w:bookmarkStart w:id="1686" w:name="_Toc39579320"/>
      <w:bookmarkStart w:id="1687" w:name="_Toc39579383"/>
      <w:bookmarkStart w:id="1688" w:name="_Toc39587141"/>
      <w:bookmarkStart w:id="1689" w:name="_Toc39582533"/>
      <w:bookmarkStart w:id="1690" w:name="_Toc40264949"/>
      <w:bookmarkStart w:id="1691" w:name="_Toc40266425"/>
      <w:bookmarkStart w:id="1692" w:name="_Toc40279758"/>
      <w:bookmarkStart w:id="1693" w:name="_Toc40282060"/>
      <w:bookmarkStart w:id="1694" w:name="_Toc40282222"/>
      <w:bookmarkStart w:id="1695" w:name="_Toc40360552"/>
      <w:bookmarkStart w:id="1696" w:name="_Toc40353595"/>
      <w:bookmarkStart w:id="1697" w:name="_Toc40366942"/>
      <w:bookmarkStart w:id="1698" w:name="_Toc40368274"/>
      <w:bookmarkStart w:id="1699" w:name="_Toc40382880"/>
      <w:bookmarkStart w:id="1700" w:name="_Toc40431079"/>
      <w:bookmarkStart w:id="1701" w:name="_Toc40433017"/>
      <w:bookmarkStart w:id="1702" w:name="_Toc40447702"/>
      <w:bookmarkStart w:id="1703" w:name="_Toc40441231"/>
      <w:bookmarkStart w:id="1704" w:name="_Toc40448567"/>
      <w:bookmarkStart w:id="1705" w:name="_Toc40449995"/>
      <w:r>
        <w:br w:type="page"/>
      </w:r>
    </w:p>
    <w:p w14:paraId="7DE35CEC" w14:textId="61E41B21" w:rsidR="009468C8" w:rsidRDefault="00313B8B" w:rsidP="009468C8">
      <w:pPr>
        <w:pStyle w:val="Heading2"/>
      </w:pPr>
      <w:bookmarkStart w:id="1706" w:name="_Toc38549526"/>
      <w:bookmarkStart w:id="1707" w:name="_Toc38634189"/>
      <w:bookmarkStart w:id="1708" w:name="_Toc39571068"/>
      <w:bookmarkStart w:id="1709" w:name="_Toc39579324"/>
      <w:bookmarkStart w:id="1710" w:name="_Toc39579387"/>
      <w:bookmarkStart w:id="1711" w:name="_Toc39587145"/>
      <w:bookmarkStart w:id="1712" w:name="_Toc39582537"/>
      <w:bookmarkStart w:id="1713" w:name="_Toc40264953"/>
      <w:bookmarkStart w:id="1714" w:name="_Toc40266429"/>
      <w:bookmarkStart w:id="1715" w:name="_Toc40279762"/>
      <w:bookmarkStart w:id="1716" w:name="_Toc40282064"/>
      <w:bookmarkStart w:id="1717" w:name="_Toc40282226"/>
      <w:bookmarkStart w:id="1718" w:name="_Toc40360556"/>
      <w:bookmarkStart w:id="1719" w:name="_Toc40353599"/>
      <w:bookmarkStart w:id="1720" w:name="_Toc40366946"/>
      <w:bookmarkStart w:id="1721" w:name="_Toc40368278"/>
      <w:bookmarkStart w:id="1722" w:name="_Toc40382884"/>
      <w:bookmarkStart w:id="1723" w:name="_Toc40431083"/>
      <w:bookmarkStart w:id="1724" w:name="_Toc40433021"/>
      <w:bookmarkStart w:id="1725" w:name="_Toc40447706"/>
      <w:bookmarkStart w:id="1726" w:name="_Toc40441235"/>
      <w:bookmarkStart w:id="1727" w:name="_Toc40448571"/>
      <w:bookmarkStart w:id="1728" w:name="_Toc40449999"/>
      <w:bookmarkStart w:id="1729" w:name="_Toc40968337"/>
      <w:bookmarkStart w:id="1730" w:name="_Toc41051059"/>
      <w:bookmarkStart w:id="1731" w:name="_Toc41046059"/>
      <w:bookmarkStart w:id="1732" w:name="_Toc41053517"/>
      <w:bookmarkStart w:id="1733" w:name="_Toc44592688"/>
      <w:bookmarkStart w:id="1734" w:name="_Toc44596201"/>
      <w:bookmarkStart w:id="1735" w:name="_Toc44604596"/>
      <w:bookmarkStart w:id="1736" w:name="_Toc54169745"/>
      <w:bookmarkStart w:id="1737" w:name="_Toc56090032"/>
      <w:bookmarkStart w:id="1738" w:name="_Toc40968335"/>
      <w:bookmarkStart w:id="1739" w:name="_Toc41051057"/>
      <w:bookmarkStart w:id="1740" w:name="_Toc41046057"/>
      <w:bookmarkStart w:id="1741" w:name="_Toc41053515"/>
      <w:bookmarkStart w:id="1742" w:name="_Toc44592686"/>
      <w:bookmarkStart w:id="1743" w:name="_Toc44596199"/>
      <w:bookmarkStart w:id="1744" w:name="_Toc44604594"/>
      <w:bookmarkStart w:id="1745" w:name="_Toc54169743"/>
      <w:r>
        <w:t>9.2</w:t>
      </w:r>
      <w:r w:rsidR="009468C8">
        <w:tab/>
        <w:t>Assumptions and limitations of the dietary exposure assessment</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14:paraId="1670D87A" w14:textId="77777777" w:rsidR="009468C8" w:rsidRPr="00F87951" w:rsidRDefault="009468C8" w:rsidP="009468C8">
      <w:r w:rsidRPr="00941655">
        <w:t xml:space="preserve">The aim of the dietary exposure assessment was to make the most realistic estimation of dietary exposures to </w:t>
      </w:r>
      <w:r>
        <w:t>rapeseed protein isolate and other anti-nutritional factors</w:t>
      </w:r>
      <w:r w:rsidRPr="00941655">
        <w:t xml:space="preserve"> as possible. However, where significant uncertainties in the data existed, conservative assumptions were generally used to ensure that the estimated dietary exposure was not an underestimate of exposure.</w:t>
      </w:r>
    </w:p>
    <w:p w14:paraId="022D74D9" w14:textId="77777777" w:rsidR="009468C8" w:rsidRDefault="009468C8" w:rsidP="009468C8"/>
    <w:p w14:paraId="24E868F9" w14:textId="77777777" w:rsidR="009468C8" w:rsidRPr="008F2647" w:rsidRDefault="009468C8" w:rsidP="009468C8">
      <w:pPr>
        <w:autoSpaceDE w:val="0"/>
        <w:autoSpaceDN w:val="0"/>
        <w:adjustRightInd w:val="0"/>
        <w:rPr>
          <w:rFonts w:cs="Arial"/>
          <w:color w:val="000000"/>
        </w:rPr>
      </w:pPr>
      <w:r w:rsidRPr="008F2647">
        <w:rPr>
          <w:rFonts w:cs="Arial"/>
          <w:color w:val="000000"/>
        </w:rPr>
        <w:t>Assumptions made in the dietary exposure assessment included:</w:t>
      </w:r>
    </w:p>
    <w:p w14:paraId="030FDE85" w14:textId="77777777" w:rsidR="009468C8" w:rsidRDefault="009468C8" w:rsidP="009468C8">
      <w:pPr>
        <w:pStyle w:val="ListParagraph"/>
        <w:widowControl/>
        <w:numPr>
          <w:ilvl w:val="0"/>
          <w:numId w:val="8"/>
        </w:numPr>
        <w:autoSpaceDE w:val="0"/>
        <w:autoSpaceDN w:val="0"/>
        <w:adjustRightInd w:val="0"/>
        <w:spacing w:after="31"/>
        <w:rPr>
          <w:rFonts w:cs="Arial"/>
          <w:color w:val="000000"/>
        </w:rPr>
      </w:pPr>
      <w:r w:rsidRPr="000E6813">
        <w:rPr>
          <w:rFonts w:cs="Arial"/>
          <w:color w:val="000000"/>
        </w:rPr>
        <w:t>All foods in a category contain rapeseed protein isolate at the proposed maximum use concentration level concentration.</w:t>
      </w:r>
    </w:p>
    <w:p w14:paraId="12D8586E" w14:textId="77777777" w:rsidR="009468C8" w:rsidRPr="0009590C" w:rsidRDefault="009468C8" w:rsidP="009468C8">
      <w:pPr>
        <w:pStyle w:val="ListParagraph"/>
        <w:widowControl/>
        <w:numPr>
          <w:ilvl w:val="0"/>
          <w:numId w:val="8"/>
        </w:numPr>
        <w:autoSpaceDE w:val="0"/>
        <w:autoSpaceDN w:val="0"/>
        <w:adjustRightInd w:val="0"/>
        <w:spacing w:after="31"/>
        <w:rPr>
          <w:rFonts w:cs="Arial"/>
          <w:color w:val="000000"/>
        </w:rPr>
      </w:pPr>
      <w:r>
        <w:t>Individual foods in the wider group contain the specified concentration of the food chemical.</w:t>
      </w:r>
    </w:p>
    <w:p w14:paraId="10C52BB7" w14:textId="77777777" w:rsidR="009468C8" w:rsidRDefault="009468C8" w:rsidP="009468C8">
      <w:pPr>
        <w:widowControl/>
        <w:numPr>
          <w:ilvl w:val="0"/>
          <w:numId w:val="8"/>
        </w:numPr>
      </w:pPr>
      <w:r>
        <w:t xml:space="preserve">There are no reductions in food chemical concentrations from food preparation or due to cooking. </w:t>
      </w:r>
      <w:r w:rsidRPr="00AD77A3">
        <w:rPr>
          <w:lang w:bidi="ar-SA"/>
        </w:rPr>
        <w:t xml:space="preserve">The concentration data used for glucosinolates in </w:t>
      </w:r>
      <w:r w:rsidRPr="00DA0240">
        <w:rPr>
          <w:i/>
          <w:lang w:bidi="ar-SA"/>
        </w:rPr>
        <w:t>Brassica</w:t>
      </w:r>
      <w:r w:rsidRPr="00AD77A3">
        <w:rPr>
          <w:lang w:bidi="ar-SA"/>
        </w:rPr>
        <w:t xml:space="preserve"> veg</w:t>
      </w:r>
      <w:r>
        <w:rPr>
          <w:lang w:bidi="ar-SA"/>
        </w:rPr>
        <w:t>etables</w:t>
      </w:r>
      <w:r w:rsidRPr="00AD77A3">
        <w:rPr>
          <w:lang w:bidi="ar-SA"/>
        </w:rPr>
        <w:t xml:space="preserve"> are for raw not for cooked vegetables and as such did not account for heat lability of component during food processing</w:t>
      </w:r>
      <w:r>
        <w:rPr>
          <w:lang w:bidi="ar-SA"/>
        </w:rPr>
        <w:t>.</w:t>
      </w:r>
    </w:p>
    <w:p w14:paraId="772AB4FD" w14:textId="77777777" w:rsidR="009468C8" w:rsidRPr="00AD77A3" w:rsidRDefault="009468C8" w:rsidP="009468C8">
      <w:pPr>
        <w:pStyle w:val="ListParagraph"/>
        <w:widowControl/>
        <w:numPr>
          <w:ilvl w:val="0"/>
          <w:numId w:val="8"/>
        </w:numPr>
        <w:autoSpaceDE w:val="0"/>
        <w:autoSpaceDN w:val="0"/>
        <w:adjustRightInd w:val="0"/>
        <w:spacing w:after="31"/>
        <w:rPr>
          <w:lang w:bidi="ar-SA"/>
        </w:rPr>
      </w:pPr>
      <w:r>
        <w:t>Food consumption data from the national nutrition surveys used represent current eating patterns.</w:t>
      </w:r>
    </w:p>
    <w:p w14:paraId="3C6E3FE0" w14:textId="77777777" w:rsidR="009468C8" w:rsidRPr="00A733F9" w:rsidRDefault="009468C8" w:rsidP="009468C8"/>
    <w:p w14:paraId="6C9558DA" w14:textId="77777777" w:rsidR="009468C8" w:rsidRDefault="009468C8" w:rsidP="009468C8">
      <w:r w:rsidRPr="000F3678">
        <w:t xml:space="preserve">In addition to the specific assumptions made in relation to this dietary exposure assessment, there were a number of limitations: </w:t>
      </w:r>
    </w:p>
    <w:p w14:paraId="387E934A" w14:textId="77777777" w:rsidR="009468C8" w:rsidRPr="007E59AA" w:rsidRDefault="009468C8" w:rsidP="009468C8"/>
    <w:p w14:paraId="6AE54D87" w14:textId="77777777" w:rsidR="009468C8" w:rsidRDefault="009468C8" w:rsidP="009468C8">
      <w:pPr>
        <w:pStyle w:val="Default"/>
        <w:numPr>
          <w:ilvl w:val="0"/>
          <w:numId w:val="8"/>
        </w:numPr>
        <w:spacing w:after="31"/>
        <w:rPr>
          <w:sz w:val="22"/>
          <w:szCs w:val="22"/>
        </w:rPr>
      </w:pPr>
      <w:r w:rsidRPr="00116E5D">
        <w:rPr>
          <w:sz w:val="22"/>
          <w:szCs w:val="22"/>
        </w:rPr>
        <w:t xml:space="preserve">As only one day of food consumption survey data are available from New Zealand nutrition surveys, the estimated exposures are likely to be over-estimated (particularly at the high percentiles of exposure) given that two days of survey data has been established as more appropriate for estimating long term consumption </w:t>
      </w:r>
      <w:r>
        <w:rPr>
          <w:sz w:val="22"/>
          <w:szCs w:val="22"/>
        </w:rPr>
        <w:t>and therefore dietary exposure.</w:t>
      </w:r>
    </w:p>
    <w:p w14:paraId="79DC3777" w14:textId="77777777" w:rsidR="009468C8" w:rsidRDefault="009468C8" w:rsidP="009468C8">
      <w:pPr>
        <w:pStyle w:val="Default"/>
        <w:numPr>
          <w:ilvl w:val="0"/>
          <w:numId w:val="8"/>
        </w:numPr>
        <w:spacing w:after="31"/>
        <w:rPr>
          <w:sz w:val="22"/>
          <w:szCs w:val="22"/>
        </w:rPr>
      </w:pPr>
      <w:r>
        <w:rPr>
          <w:sz w:val="22"/>
          <w:szCs w:val="22"/>
        </w:rPr>
        <w:t xml:space="preserve">Limited and highly varied concentration data (in terms of methods of collection and reporting and range of results) for erucic acid and glucosinolates in </w:t>
      </w:r>
      <w:r w:rsidRPr="00DA0240">
        <w:rPr>
          <w:i/>
        </w:rPr>
        <w:t>Brassica</w:t>
      </w:r>
      <w:r>
        <w:rPr>
          <w:sz w:val="22"/>
          <w:szCs w:val="22"/>
        </w:rPr>
        <w:t xml:space="preserve"> vegetables made it difficult to determine representative concentrations for use in the dietary exposure assessment.</w:t>
      </w:r>
    </w:p>
    <w:p w14:paraId="1048C127" w14:textId="77777777" w:rsidR="009468C8" w:rsidRPr="00116E5D" w:rsidRDefault="009468C8" w:rsidP="009468C8">
      <w:pPr>
        <w:pStyle w:val="Default"/>
        <w:numPr>
          <w:ilvl w:val="0"/>
          <w:numId w:val="8"/>
        </w:numPr>
        <w:spacing w:after="31"/>
        <w:rPr>
          <w:sz w:val="22"/>
          <w:szCs w:val="22"/>
        </w:rPr>
      </w:pPr>
      <w:r>
        <w:rPr>
          <w:sz w:val="22"/>
          <w:szCs w:val="22"/>
        </w:rPr>
        <w:t>There were insufficient concentration data to enable a baseline dietary exposure assessment to be conducted for erucic acid and glucosinolates from the whole diet.</w:t>
      </w:r>
    </w:p>
    <w:p w14:paraId="52269E74" w14:textId="77777777" w:rsidR="009468C8" w:rsidRDefault="009468C8" w:rsidP="009468C8">
      <w:pPr>
        <w:pStyle w:val="Default"/>
        <w:numPr>
          <w:ilvl w:val="0"/>
          <w:numId w:val="8"/>
        </w:numPr>
        <w:spacing w:after="31"/>
        <w:rPr>
          <w:sz w:val="22"/>
          <w:szCs w:val="22"/>
        </w:rPr>
      </w:pPr>
      <w:r w:rsidRPr="008F6378">
        <w:rPr>
          <w:sz w:val="22"/>
          <w:szCs w:val="22"/>
        </w:rPr>
        <w:t>National Nutrition Surveys cannot be used to describe an individual’s usual intake, or predict how consumers will change their eating patterns if new foods are introduced</w:t>
      </w:r>
      <w:r>
        <w:rPr>
          <w:sz w:val="22"/>
          <w:szCs w:val="22"/>
        </w:rPr>
        <w:t>.</w:t>
      </w:r>
    </w:p>
    <w:p w14:paraId="5763864B" w14:textId="7925482B" w:rsidR="009468C8" w:rsidRPr="00041241" w:rsidRDefault="009468C8" w:rsidP="009468C8">
      <w:pPr>
        <w:widowControl/>
        <w:numPr>
          <w:ilvl w:val="0"/>
          <w:numId w:val="8"/>
        </w:numPr>
        <w:autoSpaceDE w:val="0"/>
        <w:autoSpaceDN w:val="0"/>
        <w:adjustRightInd w:val="0"/>
        <w:rPr>
          <w:rFonts w:eastAsiaTheme="minorHAnsi" w:cs="Arial"/>
          <w:color w:val="000000"/>
          <w:szCs w:val="22"/>
          <w:lang w:bidi="ar-SA"/>
        </w:rPr>
      </w:pPr>
      <w:r w:rsidRPr="00992F90">
        <w:rPr>
          <w:rFonts w:eastAsiaTheme="minorHAnsi" w:cs="Arial"/>
          <w:color w:val="000000"/>
          <w:szCs w:val="22"/>
          <w:lang w:bidi="ar-SA"/>
        </w:rPr>
        <w:t>Age of the food consumption data used in the dietary exposure assessment. Generally, consumption of staple foods such as fruit, vegetables, meat, dairy products and cereal products, which make up the majority of most people’s diet, is unlikely to change markedly over time. However, there is uncertainty associated with the consumption of foods that may have changed in consumption, or that have been introduced to the market since the consumption data were collected.</w:t>
      </w:r>
    </w:p>
    <w:p w14:paraId="762C4553" w14:textId="6AE9B081" w:rsidR="00FD28D3" w:rsidRDefault="0025681B" w:rsidP="00E41BD5">
      <w:pPr>
        <w:pStyle w:val="Heading2"/>
      </w:pPr>
      <w:bookmarkStart w:id="1746" w:name="_Toc56090033"/>
      <w:r>
        <w:t>9.</w:t>
      </w:r>
      <w:r w:rsidR="00313B8B">
        <w:t>3</w:t>
      </w:r>
      <w:r w:rsidR="00FC5481">
        <w:tab/>
      </w:r>
      <w:r w:rsidR="006E141E">
        <w:t>Concentration data</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38"/>
      <w:bookmarkEnd w:id="1739"/>
      <w:bookmarkEnd w:id="1740"/>
      <w:bookmarkEnd w:id="1741"/>
      <w:bookmarkEnd w:id="1742"/>
      <w:bookmarkEnd w:id="1743"/>
      <w:bookmarkEnd w:id="1744"/>
      <w:bookmarkEnd w:id="1745"/>
      <w:bookmarkEnd w:id="1746"/>
    </w:p>
    <w:p w14:paraId="6AE6BC83" w14:textId="5FE065A8" w:rsidR="006E141E" w:rsidRDefault="006E141E" w:rsidP="00FC5481">
      <w:pPr>
        <w:rPr>
          <w:b/>
        </w:rPr>
      </w:pPr>
      <w:bookmarkStart w:id="1747" w:name="_Toc38549523"/>
      <w:bookmarkStart w:id="1748" w:name="_Toc38634186"/>
      <w:bookmarkStart w:id="1749" w:name="_Toc39571065"/>
      <w:bookmarkStart w:id="1750" w:name="_Toc39579321"/>
      <w:bookmarkStart w:id="1751" w:name="_Toc39579384"/>
      <w:bookmarkStart w:id="1752" w:name="_Toc39587142"/>
      <w:bookmarkStart w:id="1753" w:name="_Toc39582534"/>
      <w:bookmarkStart w:id="1754" w:name="_Toc40264950"/>
      <w:bookmarkStart w:id="1755" w:name="_Toc40266426"/>
      <w:bookmarkStart w:id="1756" w:name="_Toc40279759"/>
      <w:bookmarkStart w:id="1757" w:name="_Toc40282061"/>
      <w:bookmarkStart w:id="1758" w:name="_Toc40282223"/>
      <w:bookmarkStart w:id="1759" w:name="_Toc40360553"/>
      <w:bookmarkStart w:id="1760" w:name="_Toc40353596"/>
      <w:bookmarkStart w:id="1761" w:name="_Toc40366943"/>
      <w:bookmarkStart w:id="1762" w:name="_Toc40368275"/>
      <w:bookmarkStart w:id="1763" w:name="_Toc40382881"/>
      <w:bookmarkStart w:id="1764" w:name="_Toc40431080"/>
      <w:bookmarkStart w:id="1765" w:name="_Toc40433018"/>
      <w:bookmarkStart w:id="1766" w:name="_Toc40447703"/>
      <w:bookmarkStart w:id="1767" w:name="_Toc40441232"/>
      <w:bookmarkStart w:id="1768" w:name="_Toc40448568"/>
      <w:bookmarkStart w:id="1769" w:name="_Toc40449996"/>
      <w:r w:rsidRPr="00FC5481">
        <w:rPr>
          <w:b/>
        </w:rPr>
        <w:t>Rapeseed protein isolate</w:t>
      </w:r>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14:paraId="3EA8C489" w14:textId="77777777" w:rsidR="00FC5481" w:rsidRPr="00FC5481" w:rsidRDefault="00FC5481" w:rsidP="00FC5481">
      <w:pPr>
        <w:rPr>
          <w:b/>
        </w:rPr>
      </w:pPr>
    </w:p>
    <w:p w14:paraId="5991D585" w14:textId="00ACEC2B" w:rsidR="00C56035" w:rsidRPr="009D35B7" w:rsidRDefault="00C56035" w:rsidP="00C56035">
      <w:pPr>
        <w:rPr>
          <w:lang w:eastAsia="en-AU" w:bidi="ar-SA"/>
        </w:rPr>
      </w:pPr>
      <w:r>
        <w:rPr>
          <w:lang w:eastAsia="en-AU" w:bidi="ar-SA"/>
        </w:rPr>
        <w:t xml:space="preserve">Details of the food categories and concentrations used in Harvest to calculate the dietary exposures to rapeseed </w:t>
      </w:r>
      <w:r w:rsidRPr="009D35B7">
        <w:rPr>
          <w:lang w:eastAsia="en-AU" w:bidi="ar-SA"/>
        </w:rPr>
        <w:t>protein isolate are shown in Table A1</w:t>
      </w:r>
      <w:r w:rsidR="007451F6" w:rsidRPr="009D35B7">
        <w:rPr>
          <w:lang w:eastAsia="en-AU" w:bidi="ar-SA"/>
        </w:rPr>
        <w:t>.2</w:t>
      </w:r>
      <w:r w:rsidRPr="009D35B7">
        <w:rPr>
          <w:lang w:eastAsia="en-AU" w:bidi="ar-SA"/>
        </w:rPr>
        <w:t>.</w:t>
      </w:r>
    </w:p>
    <w:p w14:paraId="3C709554" w14:textId="77777777" w:rsidR="00C56035" w:rsidRPr="009D35B7" w:rsidRDefault="00C56035" w:rsidP="00C56035">
      <w:pPr>
        <w:rPr>
          <w:lang w:eastAsia="en-AU" w:bidi="ar-SA"/>
        </w:rPr>
      </w:pPr>
    </w:p>
    <w:p w14:paraId="501769A2" w14:textId="77777777" w:rsidR="00041241" w:rsidRDefault="00041241">
      <w:pPr>
        <w:rPr>
          <w:b/>
          <w:i/>
        </w:rPr>
      </w:pPr>
    </w:p>
    <w:p w14:paraId="2B7711F7" w14:textId="77777777" w:rsidR="00041241" w:rsidRDefault="00041241">
      <w:pPr>
        <w:rPr>
          <w:b/>
          <w:i/>
        </w:rPr>
      </w:pPr>
    </w:p>
    <w:p w14:paraId="682B5463" w14:textId="3B0E3795" w:rsidR="00F76307" w:rsidRDefault="00C56035">
      <w:pPr>
        <w:rPr>
          <w:i/>
        </w:rPr>
      </w:pPr>
      <w:r w:rsidRPr="00FC5481">
        <w:rPr>
          <w:b/>
          <w:i/>
        </w:rPr>
        <w:t>Table A1</w:t>
      </w:r>
      <w:r w:rsidR="007451F6" w:rsidRPr="00FC5481">
        <w:rPr>
          <w:b/>
          <w:i/>
        </w:rPr>
        <w:t>.2</w:t>
      </w:r>
      <w:r w:rsidR="00F76307">
        <w:rPr>
          <w:b/>
          <w:i/>
        </w:rPr>
        <w:t>.</w:t>
      </w:r>
      <w:r w:rsidR="00FC5481">
        <w:rPr>
          <w:b/>
          <w:i/>
          <w:iCs/>
        </w:rPr>
        <w:tab/>
      </w:r>
      <w:r w:rsidR="00F76307" w:rsidRPr="00FC5481">
        <w:rPr>
          <w:i/>
        </w:rPr>
        <w:t>Food classifications and concentrations of rapeseed protein isolate used in the dietary exposure assessment</w:t>
      </w:r>
    </w:p>
    <w:p w14:paraId="650DDD71" w14:textId="77777777" w:rsidR="00FC5481" w:rsidRPr="00FC5481" w:rsidRDefault="00FC5481">
      <w:pPr>
        <w:rPr>
          <w:i/>
          <w:lang w:bidi="ar-SA"/>
        </w:rPr>
      </w:pPr>
    </w:p>
    <w:tbl>
      <w:tblPr>
        <w:tblStyle w:val="TableGrid"/>
        <w:tblW w:w="9776" w:type="dxa"/>
        <w:tblLayout w:type="fixed"/>
        <w:tblLook w:val="04A0" w:firstRow="1" w:lastRow="0" w:firstColumn="1" w:lastColumn="0" w:noHBand="0" w:noVBand="1"/>
        <w:tblCaption w:val="Table A1.2 Food classifications and concentrations of rapeseed protein isolate used in the dietary exposure assessment"/>
        <w:tblDescription w:val="Table A1.2 has 7 columns. The first column is food categories requested in application. The second is examples of the foods rapeseed protein isolates could be used in. The third column is the proposed maximum use level in percentage, the fourth column is food standard category code. The fifth column is the harvest computer program classification code, sixth column is the harvest classification name and the last column is concentration of rapeseed protein isolates used in the dietary exposure assessment in grams per kilogram."/>
      </w:tblPr>
      <w:tblGrid>
        <w:gridCol w:w="1271"/>
        <w:gridCol w:w="1276"/>
        <w:gridCol w:w="997"/>
        <w:gridCol w:w="1129"/>
        <w:gridCol w:w="1557"/>
        <w:gridCol w:w="1409"/>
        <w:gridCol w:w="1145"/>
        <w:gridCol w:w="992"/>
      </w:tblGrid>
      <w:tr w:rsidR="00DE2747" w:rsidRPr="005E79F3" w14:paraId="70DAE08C" w14:textId="77777777" w:rsidTr="000256D8">
        <w:trPr>
          <w:tblHeader/>
        </w:trPr>
        <w:tc>
          <w:tcPr>
            <w:tcW w:w="1271" w:type="dxa"/>
            <w:vMerge w:val="restart"/>
          </w:tcPr>
          <w:p w14:paraId="6151579E" w14:textId="77777777" w:rsidR="00DE2747" w:rsidRPr="005B61FB" w:rsidRDefault="00DE2747" w:rsidP="00F76307">
            <w:pPr>
              <w:rPr>
                <w:rFonts w:cs="Arial"/>
                <w:b/>
                <w:sz w:val="18"/>
                <w:szCs w:val="20"/>
              </w:rPr>
            </w:pPr>
            <w:r w:rsidRPr="005B61FB">
              <w:rPr>
                <w:rFonts w:cs="Arial"/>
                <w:b/>
                <w:sz w:val="18"/>
                <w:szCs w:val="20"/>
              </w:rPr>
              <w:t>Food category in application</w:t>
            </w:r>
          </w:p>
        </w:tc>
        <w:tc>
          <w:tcPr>
            <w:tcW w:w="1276" w:type="dxa"/>
            <w:vMerge w:val="restart"/>
          </w:tcPr>
          <w:p w14:paraId="089B39B2" w14:textId="77777777" w:rsidR="00DE2747" w:rsidRPr="005B61FB" w:rsidRDefault="00DE2747" w:rsidP="00F76307">
            <w:pPr>
              <w:pStyle w:val="FSTableHeading"/>
              <w:jc w:val="left"/>
              <w:rPr>
                <w:rFonts w:ascii="Arial" w:hAnsi="Arial"/>
                <w:sz w:val="18"/>
                <w:lang w:bidi="ar-SA"/>
              </w:rPr>
            </w:pPr>
            <w:r w:rsidRPr="005B61FB">
              <w:rPr>
                <w:rFonts w:ascii="Arial" w:hAnsi="Arial"/>
                <w:sz w:val="18"/>
                <w:lang w:bidi="ar-SA"/>
              </w:rPr>
              <w:t>Examples</w:t>
            </w:r>
          </w:p>
        </w:tc>
        <w:tc>
          <w:tcPr>
            <w:tcW w:w="997" w:type="dxa"/>
            <w:vMerge w:val="restart"/>
          </w:tcPr>
          <w:p w14:paraId="4601075A" w14:textId="39CB97A9" w:rsidR="00DE2747" w:rsidRPr="005B61FB" w:rsidRDefault="00DE2747" w:rsidP="00F51477">
            <w:pPr>
              <w:pStyle w:val="Default"/>
              <w:jc w:val="right"/>
              <w:rPr>
                <w:b/>
                <w:color w:val="auto"/>
                <w:sz w:val="18"/>
                <w:szCs w:val="20"/>
              </w:rPr>
            </w:pPr>
            <w:r w:rsidRPr="005B61FB">
              <w:rPr>
                <w:b/>
                <w:color w:val="auto"/>
                <w:sz w:val="18"/>
                <w:szCs w:val="20"/>
              </w:rPr>
              <w:t>Proposed maximum</w:t>
            </w:r>
            <w:r>
              <w:rPr>
                <w:b/>
                <w:color w:val="auto"/>
                <w:sz w:val="18"/>
                <w:szCs w:val="20"/>
              </w:rPr>
              <w:t xml:space="preserve"> (typical)</w:t>
            </w:r>
            <w:r w:rsidRPr="005B61FB">
              <w:rPr>
                <w:b/>
                <w:color w:val="auto"/>
                <w:sz w:val="18"/>
                <w:szCs w:val="20"/>
              </w:rPr>
              <w:t xml:space="preserve"> use level (%)</w:t>
            </w:r>
          </w:p>
        </w:tc>
        <w:tc>
          <w:tcPr>
            <w:tcW w:w="1129" w:type="dxa"/>
            <w:vMerge w:val="restart"/>
          </w:tcPr>
          <w:p w14:paraId="3083EF8C" w14:textId="6A8C9AD6" w:rsidR="00DE2747" w:rsidRPr="005B61FB" w:rsidRDefault="00DE2747" w:rsidP="009D35B7">
            <w:pPr>
              <w:pStyle w:val="Default"/>
              <w:rPr>
                <w:b/>
                <w:color w:val="auto"/>
                <w:sz w:val="18"/>
                <w:szCs w:val="20"/>
              </w:rPr>
            </w:pPr>
            <w:r w:rsidRPr="005B61FB">
              <w:rPr>
                <w:b/>
                <w:sz w:val="18"/>
                <w:szCs w:val="20"/>
              </w:rPr>
              <w:t>Food standards code</w:t>
            </w:r>
            <w:r>
              <w:rPr>
                <w:b/>
                <w:sz w:val="18"/>
                <w:szCs w:val="20"/>
              </w:rPr>
              <w:t xml:space="preserve"> class</w:t>
            </w:r>
          </w:p>
        </w:tc>
        <w:tc>
          <w:tcPr>
            <w:tcW w:w="1557" w:type="dxa"/>
            <w:vMerge w:val="restart"/>
          </w:tcPr>
          <w:p w14:paraId="50899E42" w14:textId="77777777" w:rsidR="00DE2747" w:rsidRPr="005B61FB" w:rsidRDefault="00DE2747" w:rsidP="00F76307">
            <w:pPr>
              <w:pStyle w:val="Default"/>
              <w:rPr>
                <w:b/>
                <w:sz w:val="18"/>
                <w:szCs w:val="20"/>
              </w:rPr>
            </w:pPr>
            <w:r w:rsidRPr="005B61FB">
              <w:rPr>
                <w:b/>
                <w:sz w:val="18"/>
                <w:szCs w:val="20"/>
              </w:rPr>
              <w:t>Harvest classification code</w:t>
            </w:r>
          </w:p>
        </w:tc>
        <w:tc>
          <w:tcPr>
            <w:tcW w:w="1409" w:type="dxa"/>
            <w:vMerge w:val="restart"/>
          </w:tcPr>
          <w:p w14:paraId="4A891FFE" w14:textId="77777777" w:rsidR="00DE2747" w:rsidRPr="005B61FB" w:rsidRDefault="00DE2747" w:rsidP="00F76307">
            <w:pPr>
              <w:pStyle w:val="Default"/>
              <w:rPr>
                <w:b/>
                <w:sz w:val="18"/>
                <w:szCs w:val="20"/>
              </w:rPr>
            </w:pPr>
            <w:r w:rsidRPr="005B61FB">
              <w:rPr>
                <w:b/>
                <w:sz w:val="18"/>
                <w:szCs w:val="20"/>
              </w:rPr>
              <w:t>Harvest classification name</w:t>
            </w:r>
          </w:p>
        </w:tc>
        <w:tc>
          <w:tcPr>
            <w:tcW w:w="2137" w:type="dxa"/>
            <w:gridSpan w:val="2"/>
          </w:tcPr>
          <w:p w14:paraId="29B83ED9" w14:textId="77777777" w:rsidR="00DE2747" w:rsidRPr="005B61FB" w:rsidRDefault="00DE2747" w:rsidP="00D17133">
            <w:pPr>
              <w:pStyle w:val="Default"/>
              <w:jc w:val="right"/>
              <w:rPr>
                <w:b/>
                <w:color w:val="auto"/>
                <w:sz w:val="18"/>
                <w:szCs w:val="20"/>
              </w:rPr>
            </w:pPr>
          </w:p>
          <w:p w14:paraId="099D4132" w14:textId="7C1418B7" w:rsidR="00DE2747" w:rsidRPr="005B61FB" w:rsidRDefault="00DE2747" w:rsidP="00D27FF0">
            <w:pPr>
              <w:pStyle w:val="Default"/>
              <w:jc w:val="right"/>
              <w:rPr>
                <w:b/>
                <w:sz w:val="18"/>
                <w:szCs w:val="20"/>
              </w:rPr>
            </w:pPr>
            <w:r w:rsidRPr="005B61FB">
              <w:rPr>
                <w:b/>
                <w:color w:val="auto"/>
                <w:sz w:val="18"/>
                <w:szCs w:val="20"/>
              </w:rPr>
              <w:t>Concentration used in dietary exposure assessment (g/kg)</w:t>
            </w:r>
          </w:p>
        </w:tc>
      </w:tr>
      <w:tr w:rsidR="00DE2747" w:rsidRPr="005E79F3" w14:paraId="44D206E7" w14:textId="77777777" w:rsidTr="000256D8">
        <w:trPr>
          <w:tblHeader/>
        </w:trPr>
        <w:tc>
          <w:tcPr>
            <w:tcW w:w="1271" w:type="dxa"/>
            <w:vMerge/>
          </w:tcPr>
          <w:p w14:paraId="4CD30D94" w14:textId="77777777" w:rsidR="00DE2747" w:rsidRPr="005B61FB" w:rsidRDefault="00DE2747" w:rsidP="00F76307">
            <w:pPr>
              <w:rPr>
                <w:rFonts w:cs="Arial"/>
                <w:b/>
                <w:sz w:val="18"/>
                <w:szCs w:val="20"/>
              </w:rPr>
            </w:pPr>
          </w:p>
        </w:tc>
        <w:tc>
          <w:tcPr>
            <w:tcW w:w="1276" w:type="dxa"/>
            <w:vMerge/>
          </w:tcPr>
          <w:p w14:paraId="57BCB883" w14:textId="77777777" w:rsidR="00DE2747" w:rsidRPr="005B61FB" w:rsidRDefault="00DE2747" w:rsidP="00F76307">
            <w:pPr>
              <w:pStyle w:val="FSTableHeading"/>
              <w:jc w:val="left"/>
              <w:rPr>
                <w:rFonts w:ascii="Arial" w:hAnsi="Arial"/>
                <w:sz w:val="18"/>
                <w:lang w:bidi="ar-SA"/>
              </w:rPr>
            </w:pPr>
          </w:p>
        </w:tc>
        <w:tc>
          <w:tcPr>
            <w:tcW w:w="997" w:type="dxa"/>
            <w:vMerge/>
          </w:tcPr>
          <w:p w14:paraId="7DFF59F2" w14:textId="77777777" w:rsidR="00DE2747" w:rsidRPr="005B61FB" w:rsidRDefault="00DE2747" w:rsidP="00F51477">
            <w:pPr>
              <w:pStyle w:val="Default"/>
              <w:jc w:val="right"/>
              <w:rPr>
                <w:b/>
                <w:color w:val="auto"/>
                <w:sz w:val="18"/>
                <w:szCs w:val="20"/>
              </w:rPr>
            </w:pPr>
          </w:p>
        </w:tc>
        <w:tc>
          <w:tcPr>
            <w:tcW w:w="1129" w:type="dxa"/>
            <w:vMerge/>
          </w:tcPr>
          <w:p w14:paraId="482A8962" w14:textId="77777777" w:rsidR="00DE2747" w:rsidRPr="005B61FB" w:rsidRDefault="00DE2747" w:rsidP="009D35B7">
            <w:pPr>
              <w:pStyle w:val="Default"/>
              <w:rPr>
                <w:b/>
                <w:sz w:val="18"/>
                <w:szCs w:val="20"/>
              </w:rPr>
            </w:pPr>
          </w:p>
        </w:tc>
        <w:tc>
          <w:tcPr>
            <w:tcW w:w="1557" w:type="dxa"/>
            <w:vMerge/>
          </w:tcPr>
          <w:p w14:paraId="22E540CE" w14:textId="77777777" w:rsidR="00DE2747" w:rsidRPr="005B61FB" w:rsidRDefault="00DE2747" w:rsidP="00F76307">
            <w:pPr>
              <w:pStyle w:val="Default"/>
              <w:rPr>
                <w:b/>
                <w:sz w:val="18"/>
                <w:szCs w:val="20"/>
              </w:rPr>
            </w:pPr>
          </w:p>
        </w:tc>
        <w:tc>
          <w:tcPr>
            <w:tcW w:w="1409" w:type="dxa"/>
            <w:vMerge/>
          </w:tcPr>
          <w:p w14:paraId="4FF3EE42" w14:textId="77777777" w:rsidR="00DE2747" w:rsidRPr="005B61FB" w:rsidRDefault="00DE2747" w:rsidP="00F76307">
            <w:pPr>
              <w:pStyle w:val="Default"/>
              <w:rPr>
                <w:b/>
                <w:sz w:val="18"/>
                <w:szCs w:val="20"/>
              </w:rPr>
            </w:pPr>
          </w:p>
        </w:tc>
        <w:tc>
          <w:tcPr>
            <w:tcW w:w="1145" w:type="dxa"/>
          </w:tcPr>
          <w:p w14:paraId="53E0C6AD" w14:textId="1902FAEB" w:rsidR="00DE2747" w:rsidRDefault="00DE2747" w:rsidP="00D17133">
            <w:pPr>
              <w:pStyle w:val="Default"/>
              <w:jc w:val="right"/>
              <w:rPr>
                <w:b/>
                <w:color w:val="auto"/>
                <w:sz w:val="18"/>
                <w:szCs w:val="20"/>
              </w:rPr>
            </w:pPr>
            <w:r>
              <w:rPr>
                <w:b/>
                <w:color w:val="auto"/>
                <w:sz w:val="18"/>
                <w:szCs w:val="20"/>
              </w:rPr>
              <w:t>Maximum use level</w:t>
            </w:r>
          </w:p>
        </w:tc>
        <w:tc>
          <w:tcPr>
            <w:tcW w:w="992" w:type="dxa"/>
          </w:tcPr>
          <w:p w14:paraId="5C08487F" w14:textId="19C4BEA0" w:rsidR="00DE2747" w:rsidRPr="005B61FB" w:rsidRDefault="00DE2747" w:rsidP="00D17133">
            <w:pPr>
              <w:pStyle w:val="Default"/>
              <w:jc w:val="right"/>
              <w:rPr>
                <w:b/>
                <w:color w:val="auto"/>
                <w:sz w:val="18"/>
                <w:szCs w:val="20"/>
              </w:rPr>
            </w:pPr>
            <w:r>
              <w:rPr>
                <w:b/>
                <w:color w:val="auto"/>
                <w:sz w:val="18"/>
                <w:szCs w:val="20"/>
              </w:rPr>
              <w:t>Typical use level</w:t>
            </w:r>
          </w:p>
        </w:tc>
      </w:tr>
      <w:tr w:rsidR="00D27FF0" w:rsidRPr="008F587C" w14:paraId="610338E3" w14:textId="77777777" w:rsidTr="000256D8">
        <w:tc>
          <w:tcPr>
            <w:tcW w:w="1271" w:type="dxa"/>
            <w:vMerge w:val="restart"/>
          </w:tcPr>
          <w:p w14:paraId="17E53C58" w14:textId="77777777" w:rsidR="00D27FF0" w:rsidRPr="001B683B" w:rsidDel="005E79F3" w:rsidRDefault="00D27FF0" w:rsidP="00D27FF0">
            <w:pPr>
              <w:pStyle w:val="FSTableText"/>
              <w:rPr>
                <w:lang w:bidi="ar-SA"/>
              </w:rPr>
            </w:pPr>
            <w:r w:rsidRPr="001B683B">
              <w:rPr>
                <w:lang w:bidi="ar-SA"/>
              </w:rPr>
              <w:t>Bakery products</w:t>
            </w:r>
          </w:p>
        </w:tc>
        <w:tc>
          <w:tcPr>
            <w:tcW w:w="1276" w:type="dxa"/>
            <w:vMerge w:val="restart"/>
          </w:tcPr>
          <w:p w14:paraId="5048BB95" w14:textId="3CAACCB1" w:rsidR="00D27FF0" w:rsidRPr="001B683B" w:rsidRDefault="00D27FF0" w:rsidP="00D27FF0">
            <w:pPr>
              <w:pStyle w:val="FSTableText"/>
              <w:rPr>
                <w:lang w:bidi="ar-SA"/>
              </w:rPr>
            </w:pPr>
            <w:r w:rsidRPr="001B683B">
              <w:rPr>
                <w:lang w:bidi="ar-SA"/>
              </w:rPr>
              <w:t>Breads and rolls, pastries, biscuits, crackers, cakes, doughnuts,</w:t>
            </w:r>
            <w:r w:rsidR="0009796E">
              <w:rPr>
                <w:lang w:bidi="ar-SA"/>
              </w:rPr>
              <w:t xml:space="preserve"> </w:t>
            </w:r>
            <w:r w:rsidRPr="001B683B">
              <w:rPr>
                <w:lang w:bidi="ar-SA"/>
              </w:rPr>
              <w:t>pies, batters, muffins</w:t>
            </w:r>
          </w:p>
          <w:p w14:paraId="11512523" w14:textId="77777777" w:rsidR="00D27FF0" w:rsidRPr="001B683B" w:rsidRDefault="00D27FF0" w:rsidP="00D27FF0">
            <w:pPr>
              <w:pStyle w:val="FSTableText"/>
              <w:rPr>
                <w:lang w:bidi="ar-SA"/>
              </w:rPr>
            </w:pPr>
          </w:p>
        </w:tc>
        <w:tc>
          <w:tcPr>
            <w:tcW w:w="997" w:type="dxa"/>
            <w:vMerge w:val="restart"/>
          </w:tcPr>
          <w:p w14:paraId="710A79AB" w14:textId="27779832" w:rsidR="00D27FF0" w:rsidRPr="001B683B" w:rsidRDefault="00D27FF0" w:rsidP="00D27FF0">
            <w:pPr>
              <w:pStyle w:val="FSTableText"/>
              <w:jc w:val="right"/>
              <w:rPr>
                <w:lang w:bidi="ar-SA"/>
              </w:rPr>
            </w:pPr>
            <w:r w:rsidRPr="001B683B">
              <w:rPr>
                <w:lang w:bidi="ar-SA"/>
              </w:rPr>
              <w:t>5</w:t>
            </w:r>
            <w:r w:rsidR="00DE2747">
              <w:rPr>
                <w:lang w:bidi="ar-SA"/>
              </w:rPr>
              <w:t xml:space="preserve"> (3-5)</w:t>
            </w:r>
          </w:p>
          <w:p w14:paraId="39EA79AD" w14:textId="77777777" w:rsidR="00D27FF0" w:rsidRPr="001B683B" w:rsidRDefault="00D27FF0" w:rsidP="00D27FF0">
            <w:pPr>
              <w:pStyle w:val="FSTableText"/>
              <w:jc w:val="right"/>
              <w:rPr>
                <w:lang w:bidi="ar-SA"/>
              </w:rPr>
            </w:pPr>
          </w:p>
        </w:tc>
        <w:tc>
          <w:tcPr>
            <w:tcW w:w="1129" w:type="dxa"/>
          </w:tcPr>
          <w:p w14:paraId="734AB2B1" w14:textId="77777777" w:rsidR="00D27FF0" w:rsidRPr="005E79F3" w:rsidRDefault="00D27FF0" w:rsidP="00D27FF0">
            <w:pPr>
              <w:pStyle w:val="FSTableText"/>
              <w:rPr>
                <w:lang w:bidi="ar-SA"/>
              </w:rPr>
            </w:pPr>
            <w:r>
              <w:rPr>
                <w:lang w:bidi="ar-SA"/>
              </w:rPr>
              <w:t>6.4</w:t>
            </w:r>
          </w:p>
        </w:tc>
        <w:tc>
          <w:tcPr>
            <w:tcW w:w="1557" w:type="dxa"/>
          </w:tcPr>
          <w:p w14:paraId="13B63022" w14:textId="77777777" w:rsidR="00D27FF0" w:rsidRPr="005E79F3" w:rsidRDefault="00D27FF0" w:rsidP="00D27FF0">
            <w:pPr>
              <w:pStyle w:val="FSTableText"/>
              <w:rPr>
                <w:lang w:bidi="ar-SA"/>
              </w:rPr>
            </w:pPr>
            <w:r>
              <w:rPr>
                <w:lang w:bidi="ar-SA"/>
              </w:rPr>
              <w:t>6.4</w:t>
            </w:r>
          </w:p>
        </w:tc>
        <w:tc>
          <w:tcPr>
            <w:tcW w:w="1409" w:type="dxa"/>
          </w:tcPr>
          <w:p w14:paraId="4F613755" w14:textId="77777777" w:rsidR="00D27FF0" w:rsidRPr="005E79F3" w:rsidRDefault="00D27FF0" w:rsidP="00D27FF0">
            <w:pPr>
              <w:pStyle w:val="FSTableText"/>
              <w:rPr>
                <w:lang w:bidi="ar-SA"/>
              </w:rPr>
            </w:pPr>
            <w:r>
              <w:rPr>
                <w:lang w:bidi="ar-SA"/>
              </w:rPr>
              <w:t>Flour products (including noodles and pasta)</w:t>
            </w:r>
          </w:p>
        </w:tc>
        <w:tc>
          <w:tcPr>
            <w:tcW w:w="1145" w:type="dxa"/>
          </w:tcPr>
          <w:p w14:paraId="4109406C" w14:textId="3ECBBB88" w:rsidR="00D27FF0" w:rsidRDefault="00D27FF0" w:rsidP="00D27FF0">
            <w:pPr>
              <w:pStyle w:val="FSTableText"/>
              <w:jc w:val="right"/>
              <w:rPr>
                <w:lang w:bidi="ar-SA"/>
              </w:rPr>
            </w:pPr>
            <w:r>
              <w:rPr>
                <w:lang w:bidi="ar-SA"/>
              </w:rPr>
              <w:t>50</w:t>
            </w:r>
          </w:p>
        </w:tc>
        <w:tc>
          <w:tcPr>
            <w:tcW w:w="992" w:type="dxa"/>
          </w:tcPr>
          <w:p w14:paraId="5F948D72" w14:textId="58F819F9" w:rsidR="00D27FF0" w:rsidRPr="00D27FF0" w:rsidRDefault="00D27FF0" w:rsidP="00D27FF0">
            <w:pPr>
              <w:pStyle w:val="FSTableText"/>
              <w:jc w:val="right"/>
              <w:rPr>
                <w:lang w:bidi="ar-SA"/>
              </w:rPr>
            </w:pPr>
            <w:r w:rsidRPr="00D27FF0">
              <w:rPr>
                <w:lang w:bidi="ar-SA"/>
              </w:rPr>
              <w:t>50</w:t>
            </w:r>
          </w:p>
        </w:tc>
      </w:tr>
      <w:tr w:rsidR="00D27FF0" w:rsidRPr="008F587C" w14:paraId="1926346D" w14:textId="77777777" w:rsidTr="000256D8">
        <w:tc>
          <w:tcPr>
            <w:tcW w:w="1271" w:type="dxa"/>
            <w:vMerge/>
          </w:tcPr>
          <w:p w14:paraId="53AA3A93" w14:textId="77777777" w:rsidR="00D27FF0" w:rsidRPr="001B683B" w:rsidRDefault="00D27FF0" w:rsidP="00D27FF0">
            <w:pPr>
              <w:pStyle w:val="FSTableText"/>
              <w:rPr>
                <w:lang w:bidi="ar-SA"/>
              </w:rPr>
            </w:pPr>
          </w:p>
        </w:tc>
        <w:tc>
          <w:tcPr>
            <w:tcW w:w="1276" w:type="dxa"/>
            <w:vMerge/>
          </w:tcPr>
          <w:p w14:paraId="4495F8A3" w14:textId="77777777" w:rsidR="00D27FF0" w:rsidRPr="001B683B" w:rsidRDefault="00D27FF0" w:rsidP="00D27FF0">
            <w:pPr>
              <w:pStyle w:val="FSTableText"/>
              <w:rPr>
                <w:lang w:bidi="ar-SA"/>
              </w:rPr>
            </w:pPr>
          </w:p>
        </w:tc>
        <w:tc>
          <w:tcPr>
            <w:tcW w:w="997" w:type="dxa"/>
            <w:vMerge/>
          </w:tcPr>
          <w:p w14:paraId="487059E2" w14:textId="77777777" w:rsidR="00D27FF0" w:rsidRPr="001B683B" w:rsidRDefault="00D27FF0" w:rsidP="00D27FF0">
            <w:pPr>
              <w:pStyle w:val="FSTableText"/>
              <w:jc w:val="right"/>
              <w:rPr>
                <w:lang w:bidi="ar-SA"/>
              </w:rPr>
            </w:pPr>
          </w:p>
        </w:tc>
        <w:tc>
          <w:tcPr>
            <w:tcW w:w="1129" w:type="dxa"/>
          </w:tcPr>
          <w:p w14:paraId="193516AF" w14:textId="77777777" w:rsidR="00D27FF0" w:rsidRPr="005E79F3" w:rsidRDefault="00D27FF0" w:rsidP="00D27FF0">
            <w:pPr>
              <w:pStyle w:val="FSTableText"/>
              <w:rPr>
                <w:lang w:bidi="ar-SA"/>
              </w:rPr>
            </w:pPr>
            <w:r w:rsidRPr="005E79F3">
              <w:rPr>
                <w:lang w:bidi="ar-SA"/>
              </w:rPr>
              <w:t>7</w:t>
            </w:r>
          </w:p>
        </w:tc>
        <w:tc>
          <w:tcPr>
            <w:tcW w:w="1557" w:type="dxa"/>
          </w:tcPr>
          <w:p w14:paraId="24B3FA6A" w14:textId="77777777" w:rsidR="00D27FF0" w:rsidRPr="005E79F3" w:rsidRDefault="00D27FF0" w:rsidP="00D27FF0">
            <w:pPr>
              <w:pStyle w:val="FSTableText"/>
              <w:rPr>
                <w:lang w:bidi="ar-SA"/>
              </w:rPr>
            </w:pPr>
            <w:r w:rsidRPr="005E79F3">
              <w:rPr>
                <w:lang w:bidi="ar-SA"/>
              </w:rPr>
              <w:t>7</w:t>
            </w:r>
          </w:p>
        </w:tc>
        <w:tc>
          <w:tcPr>
            <w:tcW w:w="1409" w:type="dxa"/>
          </w:tcPr>
          <w:p w14:paraId="279A68E2" w14:textId="77777777" w:rsidR="00D27FF0" w:rsidRPr="005E79F3" w:rsidRDefault="00D27FF0" w:rsidP="00D27FF0">
            <w:pPr>
              <w:pStyle w:val="FSTableText"/>
              <w:rPr>
                <w:lang w:bidi="ar-SA"/>
              </w:rPr>
            </w:pPr>
            <w:r w:rsidRPr="005E79F3">
              <w:rPr>
                <w:lang w:bidi="ar-SA"/>
              </w:rPr>
              <w:t>Bread &amp; bakery products</w:t>
            </w:r>
          </w:p>
        </w:tc>
        <w:tc>
          <w:tcPr>
            <w:tcW w:w="1145" w:type="dxa"/>
          </w:tcPr>
          <w:p w14:paraId="04452E49" w14:textId="2273931A" w:rsidR="00D27FF0" w:rsidRDefault="00D27FF0" w:rsidP="00D27FF0">
            <w:pPr>
              <w:pStyle w:val="FSTableText"/>
              <w:jc w:val="right"/>
              <w:rPr>
                <w:lang w:bidi="ar-SA"/>
              </w:rPr>
            </w:pPr>
            <w:r>
              <w:rPr>
                <w:lang w:bidi="ar-SA"/>
              </w:rPr>
              <w:t>50</w:t>
            </w:r>
          </w:p>
        </w:tc>
        <w:tc>
          <w:tcPr>
            <w:tcW w:w="992" w:type="dxa"/>
          </w:tcPr>
          <w:p w14:paraId="69B67EAA" w14:textId="41EB8B20" w:rsidR="00D27FF0" w:rsidRPr="00D27FF0" w:rsidRDefault="00D27FF0" w:rsidP="00D27FF0">
            <w:pPr>
              <w:pStyle w:val="FSTableText"/>
              <w:jc w:val="right"/>
              <w:rPr>
                <w:lang w:bidi="ar-SA"/>
              </w:rPr>
            </w:pPr>
            <w:r w:rsidRPr="00D27FF0">
              <w:rPr>
                <w:lang w:bidi="ar-SA"/>
              </w:rPr>
              <w:t>50</w:t>
            </w:r>
          </w:p>
        </w:tc>
      </w:tr>
      <w:tr w:rsidR="00D27FF0" w:rsidRPr="00DB3BDF" w14:paraId="58387F98" w14:textId="77777777" w:rsidTr="000256D8">
        <w:tc>
          <w:tcPr>
            <w:tcW w:w="1271" w:type="dxa"/>
            <w:vMerge/>
          </w:tcPr>
          <w:p w14:paraId="69B5E5F4" w14:textId="77777777" w:rsidR="00D27FF0" w:rsidRPr="001B683B" w:rsidDel="005E79F3" w:rsidRDefault="00D27FF0" w:rsidP="00D27FF0">
            <w:pPr>
              <w:pStyle w:val="FSTableText"/>
              <w:rPr>
                <w:lang w:bidi="ar-SA"/>
              </w:rPr>
            </w:pPr>
          </w:p>
        </w:tc>
        <w:tc>
          <w:tcPr>
            <w:tcW w:w="1276" w:type="dxa"/>
            <w:vMerge/>
          </w:tcPr>
          <w:p w14:paraId="0243AFDD" w14:textId="77777777" w:rsidR="00D27FF0" w:rsidRPr="001B683B" w:rsidRDefault="00D27FF0" w:rsidP="00D27FF0">
            <w:pPr>
              <w:pStyle w:val="FSTableText"/>
              <w:rPr>
                <w:lang w:bidi="ar-SA"/>
              </w:rPr>
            </w:pPr>
          </w:p>
        </w:tc>
        <w:tc>
          <w:tcPr>
            <w:tcW w:w="997" w:type="dxa"/>
            <w:vMerge/>
          </w:tcPr>
          <w:p w14:paraId="79BE6C2D" w14:textId="77777777" w:rsidR="00D27FF0" w:rsidRPr="001B683B" w:rsidRDefault="00D27FF0" w:rsidP="00D27FF0">
            <w:pPr>
              <w:pStyle w:val="FSTableText"/>
              <w:jc w:val="right"/>
              <w:rPr>
                <w:lang w:bidi="ar-SA"/>
              </w:rPr>
            </w:pPr>
          </w:p>
        </w:tc>
        <w:tc>
          <w:tcPr>
            <w:tcW w:w="1129" w:type="dxa"/>
          </w:tcPr>
          <w:p w14:paraId="1948F1B7" w14:textId="77777777" w:rsidR="00D27FF0" w:rsidRPr="00DB3BDF" w:rsidRDefault="00D27FF0" w:rsidP="00D27FF0">
            <w:pPr>
              <w:pStyle w:val="FSTableText"/>
              <w:rPr>
                <w:lang w:bidi="ar-SA"/>
              </w:rPr>
            </w:pPr>
            <w:r w:rsidRPr="00DB3BDF">
              <w:rPr>
                <w:lang w:bidi="ar-SA"/>
              </w:rPr>
              <w:t>20.2</w:t>
            </w:r>
          </w:p>
        </w:tc>
        <w:tc>
          <w:tcPr>
            <w:tcW w:w="1557" w:type="dxa"/>
          </w:tcPr>
          <w:p w14:paraId="1E6DAB29" w14:textId="77777777" w:rsidR="00D27FF0" w:rsidRPr="00DB3BDF" w:rsidRDefault="00D27FF0" w:rsidP="00D27FF0">
            <w:pPr>
              <w:pStyle w:val="FSTableText"/>
              <w:rPr>
                <w:lang w:bidi="ar-SA"/>
              </w:rPr>
            </w:pPr>
            <w:r w:rsidRPr="00DB3BDF">
              <w:rPr>
                <w:lang w:bidi="ar-SA"/>
              </w:rPr>
              <w:t>20.2.3</w:t>
            </w:r>
          </w:p>
        </w:tc>
        <w:tc>
          <w:tcPr>
            <w:tcW w:w="1409" w:type="dxa"/>
          </w:tcPr>
          <w:p w14:paraId="704C07C7" w14:textId="77777777" w:rsidR="00D27FF0" w:rsidRPr="00DB3BDF" w:rsidRDefault="00D27FF0" w:rsidP="00D27FF0">
            <w:pPr>
              <w:pStyle w:val="FSTableText"/>
              <w:rPr>
                <w:lang w:bidi="ar-SA"/>
              </w:rPr>
            </w:pPr>
            <w:r w:rsidRPr="00DB3BDF">
              <w:rPr>
                <w:lang w:bidi="ar-SA"/>
              </w:rPr>
              <w:t>Bakery products</w:t>
            </w:r>
          </w:p>
        </w:tc>
        <w:tc>
          <w:tcPr>
            <w:tcW w:w="1145" w:type="dxa"/>
          </w:tcPr>
          <w:p w14:paraId="45212A30" w14:textId="76D89233" w:rsidR="00D27FF0" w:rsidRDefault="00D27FF0" w:rsidP="00D27FF0">
            <w:pPr>
              <w:pStyle w:val="FSTableText"/>
              <w:jc w:val="right"/>
              <w:rPr>
                <w:lang w:bidi="ar-SA"/>
              </w:rPr>
            </w:pPr>
            <w:r>
              <w:rPr>
                <w:lang w:bidi="ar-SA"/>
              </w:rPr>
              <w:t>50</w:t>
            </w:r>
          </w:p>
        </w:tc>
        <w:tc>
          <w:tcPr>
            <w:tcW w:w="992" w:type="dxa"/>
          </w:tcPr>
          <w:p w14:paraId="2FD34CDD" w14:textId="4225F47D" w:rsidR="00D27FF0" w:rsidRPr="00D27FF0" w:rsidRDefault="00D27FF0" w:rsidP="00D27FF0">
            <w:pPr>
              <w:pStyle w:val="FSTableText"/>
              <w:jc w:val="right"/>
              <w:rPr>
                <w:lang w:bidi="ar-SA"/>
              </w:rPr>
            </w:pPr>
            <w:r w:rsidRPr="00D27FF0">
              <w:rPr>
                <w:lang w:bidi="ar-SA"/>
              </w:rPr>
              <w:t>50</w:t>
            </w:r>
          </w:p>
        </w:tc>
      </w:tr>
      <w:tr w:rsidR="00D27FF0" w:rsidRPr="00DB3BDF" w14:paraId="7F8EA6AE" w14:textId="77777777" w:rsidTr="000256D8">
        <w:tc>
          <w:tcPr>
            <w:tcW w:w="1271" w:type="dxa"/>
            <w:vMerge/>
          </w:tcPr>
          <w:p w14:paraId="0A83C4BC" w14:textId="77777777" w:rsidR="00D27FF0" w:rsidRPr="001B683B" w:rsidRDefault="00D27FF0" w:rsidP="00D27FF0">
            <w:pPr>
              <w:pStyle w:val="FSTableText"/>
              <w:rPr>
                <w:lang w:bidi="ar-SA"/>
              </w:rPr>
            </w:pPr>
          </w:p>
        </w:tc>
        <w:tc>
          <w:tcPr>
            <w:tcW w:w="1276" w:type="dxa"/>
            <w:vMerge w:val="restart"/>
          </w:tcPr>
          <w:p w14:paraId="7C1F23F4" w14:textId="77777777" w:rsidR="00D27FF0" w:rsidRPr="001B683B" w:rsidRDefault="00D27FF0" w:rsidP="00D27FF0">
            <w:pPr>
              <w:pStyle w:val="FSTableText"/>
              <w:rPr>
                <w:lang w:bidi="ar-SA"/>
              </w:rPr>
            </w:pPr>
            <w:r>
              <w:rPr>
                <w:lang w:bidi="ar-SA"/>
              </w:rPr>
              <w:t>C</w:t>
            </w:r>
            <w:r w:rsidRPr="001B683B">
              <w:rPr>
                <w:lang w:bidi="ar-SA"/>
              </w:rPr>
              <w:t>ereal bars,</w:t>
            </w:r>
            <w:r>
              <w:rPr>
                <w:lang w:bidi="ar-SA"/>
              </w:rPr>
              <w:t xml:space="preserve"> ready to eat </w:t>
            </w:r>
            <w:r w:rsidRPr="001B683B">
              <w:rPr>
                <w:lang w:bidi="ar-SA"/>
              </w:rPr>
              <w:t>cereal</w:t>
            </w:r>
          </w:p>
        </w:tc>
        <w:tc>
          <w:tcPr>
            <w:tcW w:w="997" w:type="dxa"/>
            <w:vMerge/>
          </w:tcPr>
          <w:p w14:paraId="51B348AB" w14:textId="77777777" w:rsidR="00D27FF0" w:rsidRPr="000A7E00" w:rsidRDefault="00D27FF0" w:rsidP="00D27FF0">
            <w:pPr>
              <w:pStyle w:val="FSTableText"/>
              <w:jc w:val="right"/>
              <w:rPr>
                <w:lang w:bidi="ar-SA"/>
              </w:rPr>
            </w:pPr>
          </w:p>
        </w:tc>
        <w:tc>
          <w:tcPr>
            <w:tcW w:w="1129" w:type="dxa"/>
          </w:tcPr>
          <w:p w14:paraId="65F799DE" w14:textId="77777777" w:rsidR="00D27FF0" w:rsidRPr="00DB3BDF" w:rsidRDefault="00D27FF0" w:rsidP="00D27FF0">
            <w:pPr>
              <w:pStyle w:val="FSTableText"/>
              <w:rPr>
                <w:lang w:bidi="ar-SA"/>
              </w:rPr>
            </w:pPr>
            <w:r w:rsidRPr="00DB3BDF">
              <w:rPr>
                <w:lang w:bidi="ar-SA"/>
              </w:rPr>
              <w:t>6.3</w:t>
            </w:r>
          </w:p>
        </w:tc>
        <w:tc>
          <w:tcPr>
            <w:tcW w:w="1557" w:type="dxa"/>
          </w:tcPr>
          <w:p w14:paraId="66D6BA01" w14:textId="77777777" w:rsidR="00D27FF0" w:rsidRPr="00DB3BDF" w:rsidRDefault="00D27FF0" w:rsidP="00D27FF0">
            <w:pPr>
              <w:pStyle w:val="FSTableText"/>
              <w:rPr>
                <w:lang w:bidi="ar-SA"/>
              </w:rPr>
            </w:pPr>
            <w:r w:rsidRPr="00DB3BDF">
              <w:rPr>
                <w:lang w:bidi="ar-SA"/>
              </w:rPr>
              <w:t>6.3</w:t>
            </w:r>
          </w:p>
        </w:tc>
        <w:tc>
          <w:tcPr>
            <w:tcW w:w="1409" w:type="dxa"/>
          </w:tcPr>
          <w:p w14:paraId="56AAA8D4" w14:textId="77777777" w:rsidR="00D27FF0" w:rsidRPr="00DB3BDF" w:rsidRDefault="00D27FF0" w:rsidP="00D27FF0">
            <w:pPr>
              <w:pStyle w:val="FSTableText"/>
              <w:rPr>
                <w:lang w:bidi="ar-SA"/>
              </w:rPr>
            </w:pPr>
            <w:r w:rsidRPr="00DB3BDF">
              <w:rPr>
                <w:lang w:bidi="ar-SA"/>
              </w:rPr>
              <w:t>Processed cereal and meal products</w:t>
            </w:r>
          </w:p>
        </w:tc>
        <w:tc>
          <w:tcPr>
            <w:tcW w:w="1145" w:type="dxa"/>
          </w:tcPr>
          <w:p w14:paraId="0233B2C9" w14:textId="25369DDA" w:rsidR="00D27FF0" w:rsidRPr="00E719C7" w:rsidRDefault="00D27FF0" w:rsidP="00D27FF0">
            <w:pPr>
              <w:pStyle w:val="FSTableText"/>
              <w:jc w:val="right"/>
              <w:rPr>
                <w:lang w:bidi="ar-SA"/>
              </w:rPr>
            </w:pPr>
            <w:r w:rsidRPr="00E719C7">
              <w:rPr>
                <w:lang w:bidi="ar-SA"/>
              </w:rPr>
              <w:t>50</w:t>
            </w:r>
          </w:p>
        </w:tc>
        <w:tc>
          <w:tcPr>
            <w:tcW w:w="992" w:type="dxa"/>
          </w:tcPr>
          <w:p w14:paraId="6C1BBF81" w14:textId="3D626118" w:rsidR="00D27FF0" w:rsidRPr="00D27FF0" w:rsidRDefault="00D27FF0" w:rsidP="00D27FF0">
            <w:pPr>
              <w:pStyle w:val="FSTableText"/>
              <w:jc w:val="right"/>
              <w:rPr>
                <w:lang w:bidi="ar-SA"/>
              </w:rPr>
            </w:pPr>
            <w:r w:rsidRPr="00D27FF0">
              <w:rPr>
                <w:lang w:bidi="ar-SA"/>
              </w:rPr>
              <w:t>50</w:t>
            </w:r>
          </w:p>
        </w:tc>
      </w:tr>
      <w:tr w:rsidR="00D27FF0" w:rsidRPr="00DB3BDF" w14:paraId="50F80B19" w14:textId="77777777" w:rsidTr="000256D8">
        <w:tc>
          <w:tcPr>
            <w:tcW w:w="1271" w:type="dxa"/>
            <w:vMerge/>
          </w:tcPr>
          <w:p w14:paraId="1E9D53EE" w14:textId="77777777" w:rsidR="00D27FF0" w:rsidRPr="001B683B" w:rsidRDefault="00D27FF0" w:rsidP="00D27FF0">
            <w:pPr>
              <w:pStyle w:val="FSTableText"/>
              <w:rPr>
                <w:lang w:bidi="ar-SA"/>
              </w:rPr>
            </w:pPr>
          </w:p>
        </w:tc>
        <w:tc>
          <w:tcPr>
            <w:tcW w:w="1276" w:type="dxa"/>
            <w:vMerge/>
          </w:tcPr>
          <w:p w14:paraId="14A98889" w14:textId="77777777" w:rsidR="00D27FF0" w:rsidRPr="001B683B" w:rsidRDefault="00D27FF0" w:rsidP="00D27FF0">
            <w:pPr>
              <w:pStyle w:val="FSTableText"/>
              <w:rPr>
                <w:lang w:bidi="ar-SA"/>
              </w:rPr>
            </w:pPr>
          </w:p>
        </w:tc>
        <w:tc>
          <w:tcPr>
            <w:tcW w:w="997" w:type="dxa"/>
            <w:vMerge/>
          </w:tcPr>
          <w:p w14:paraId="46E7B6A7" w14:textId="77777777" w:rsidR="00D27FF0" w:rsidRPr="000A7E00" w:rsidRDefault="00D27FF0" w:rsidP="00D27FF0">
            <w:pPr>
              <w:pStyle w:val="FSTableText"/>
              <w:jc w:val="right"/>
              <w:rPr>
                <w:lang w:bidi="ar-SA"/>
              </w:rPr>
            </w:pPr>
          </w:p>
        </w:tc>
        <w:tc>
          <w:tcPr>
            <w:tcW w:w="1129" w:type="dxa"/>
          </w:tcPr>
          <w:p w14:paraId="4256F810" w14:textId="77777777" w:rsidR="00D27FF0" w:rsidRPr="00DB3BDF" w:rsidRDefault="00D27FF0" w:rsidP="00D27FF0">
            <w:pPr>
              <w:pStyle w:val="FSTableText"/>
              <w:rPr>
                <w:lang w:bidi="ar-SA"/>
              </w:rPr>
            </w:pPr>
            <w:r w:rsidRPr="00DB3BDF">
              <w:rPr>
                <w:lang w:bidi="ar-SA"/>
              </w:rPr>
              <w:t>20.2</w:t>
            </w:r>
          </w:p>
        </w:tc>
        <w:tc>
          <w:tcPr>
            <w:tcW w:w="1557" w:type="dxa"/>
          </w:tcPr>
          <w:p w14:paraId="1D775E06" w14:textId="77777777" w:rsidR="00D27FF0" w:rsidRPr="00DB3BDF" w:rsidRDefault="00D27FF0" w:rsidP="00D27FF0">
            <w:pPr>
              <w:pStyle w:val="FSTableText"/>
              <w:rPr>
                <w:lang w:bidi="ar-SA"/>
              </w:rPr>
            </w:pPr>
            <w:r w:rsidRPr="00DB3BDF">
              <w:rPr>
                <w:lang w:bidi="ar-SA"/>
              </w:rPr>
              <w:t>20.2.2</w:t>
            </w:r>
          </w:p>
        </w:tc>
        <w:tc>
          <w:tcPr>
            <w:tcW w:w="1409" w:type="dxa"/>
          </w:tcPr>
          <w:p w14:paraId="075EC85A" w14:textId="77777777" w:rsidR="00D27FF0" w:rsidRPr="00DB3BDF" w:rsidRDefault="00D27FF0" w:rsidP="00D27FF0">
            <w:pPr>
              <w:pStyle w:val="FSTableText"/>
              <w:rPr>
                <w:lang w:bidi="ar-SA"/>
              </w:rPr>
            </w:pPr>
            <w:r w:rsidRPr="00DB3BDF">
              <w:rPr>
                <w:lang w:bidi="ar-SA"/>
              </w:rPr>
              <w:t>Grains, cereals &amp; cereal products</w:t>
            </w:r>
          </w:p>
        </w:tc>
        <w:tc>
          <w:tcPr>
            <w:tcW w:w="1145" w:type="dxa"/>
          </w:tcPr>
          <w:p w14:paraId="79FFD09B" w14:textId="642EF9D8" w:rsidR="00D27FF0" w:rsidRPr="00E719C7" w:rsidRDefault="00D27FF0" w:rsidP="00D27FF0">
            <w:pPr>
              <w:pStyle w:val="FSTableText"/>
              <w:jc w:val="right"/>
              <w:rPr>
                <w:lang w:bidi="ar-SA"/>
              </w:rPr>
            </w:pPr>
            <w:r w:rsidRPr="00E719C7">
              <w:rPr>
                <w:lang w:bidi="ar-SA"/>
              </w:rPr>
              <w:t>50</w:t>
            </w:r>
          </w:p>
        </w:tc>
        <w:tc>
          <w:tcPr>
            <w:tcW w:w="992" w:type="dxa"/>
          </w:tcPr>
          <w:p w14:paraId="5A38D2B3" w14:textId="3705F11E" w:rsidR="00D27FF0" w:rsidRPr="00D27FF0" w:rsidRDefault="00D27FF0" w:rsidP="00D27FF0">
            <w:pPr>
              <w:pStyle w:val="FSTableText"/>
              <w:jc w:val="right"/>
              <w:rPr>
                <w:lang w:bidi="ar-SA"/>
              </w:rPr>
            </w:pPr>
            <w:r w:rsidRPr="00D27FF0">
              <w:rPr>
                <w:lang w:bidi="ar-SA"/>
              </w:rPr>
              <w:t>50</w:t>
            </w:r>
          </w:p>
        </w:tc>
      </w:tr>
      <w:tr w:rsidR="00D27FF0" w:rsidRPr="008F587C" w14:paraId="7CBD03A8" w14:textId="77777777" w:rsidTr="000256D8">
        <w:tc>
          <w:tcPr>
            <w:tcW w:w="1271" w:type="dxa"/>
            <w:vMerge w:val="restart"/>
          </w:tcPr>
          <w:p w14:paraId="56CE9167" w14:textId="77777777" w:rsidR="00D27FF0" w:rsidRPr="002F017D" w:rsidRDefault="00D27FF0" w:rsidP="00D27FF0">
            <w:pPr>
              <w:pStyle w:val="FSTableText"/>
              <w:rPr>
                <w:lang w:bidi="ar-SA"/>
              </w:rPr>
            </w:pPr>
            <w:r w:rsidRPr="00647D08">
              <w:rPr>
                <w:lang w:bidi="ar-SA"/>
              </w:rPr>
              <w:t>Beverages</w:t>
            </w:r>
          </w:p>
        </w:tc>
        <w:tc>
          <w:tcPr>
            <w:tcW w:w="1276" w:type="dxa"/>
            <w:vMerge w:val="restart"/>
          </w:tcPr>
          <w:p w14:paraId="4DACF5A8" w14:textId="77777777" w:rsidR="00D27FF0" w:rsidRPr="00647D08" w:rsidRDefault="00D27FF0" w:rsidP="00D27FF0">
            <w:pPr>
              <w:pStyle w:val="FSTableText"/>
              <w:rPr>
                <w:lang w:bidi="ar-SA"/>
              </w:rPr>
            </w:pPr>
            <w:r w:rsidRPr="00647D08">
              <w:rPr>
                <w:lang w:bidi="ar-SA"/>
              </w:rPr>
              <w:t>Fruit juice, fruit juice blends, soft drinks, formulated beverages, energy drinks, dairy and plant based milks.</w:t>
            </w:r>
          </w:p>
        </w:tc>
        <w:tc>
          <w:tcPr>
            <w:tcW w:w="997" w:type="dxa"/>
            <w:vMerge w:val="restart"/>
          </w:tcPr>
          <w:p w14:paraId="7F5914AE" w14:textId="4BB88D47" w:rsidR="00D27FF0" w:rsidRPr="00647D08" w:rsidRDefault="00D27FF0" w:rsidP="00DE2747">
            <w:pPr>
              <w:pStyle w:val="FSTableText"/>
              <w:jc w:val="right"/>
              <w:rPr>
                <w:lang w:bidi="ar-SA"/>
              </w:rPr>
            </w:pPr>
            <w:r w:rsidRPr="00647D08">
              <w:rPr>
                <w:lang w:bidi="ar-SA"/>
              </w:rPr>
              <w:t>5</w:t>
            </w:r>
            <w:r w:rsidR="00DE2747">
              <w:rPr>
                <w:lang w:bidi="ar-SA"/>
              </w:rPr>
              <w:t xml:space="preserve"> (2-5)</w:t>
            </w:r>
          </w:p>
        </w:tc>
        <w:tc>
          <w:tcPr>
            <w:tcW w:w="1129" w:type="dxa"/>
          </w:tcPr>
          <w:p w14:paraId="177B5192" w14:textId="77777777" w:rsidR="00D27FF0" w:rsidRPr="00BB08B2" w:rsidRDefault="00D27FF0" w:rsidP="00D27FF0">
            <w:pPr>
              <w:pStyle w:val="FSTableText"/>
              <w:rPr>
                <w:lang w:bidi="ar-SA"/>
              </w:rPr>
            </w:pPr>
            <w:r w:rsidRPr="00BB08B2">
              <w:rPr>
                <w:lang w:bidi="ar-SA"/>
              </w:rPr>
              <w:t>14.1.2</w:t>
            </w:r>
          </w:p>
        </w:tc>
        <w:tc>
          <w:tcPr>
            <w:tcW w:w="1557" w:type="dxa"/>
          </w:tcPr>
          <w:p w14:paraId="70F51957" w14:textId="77777777" w:rsidR="00D27FF0" w:rsidRPr="00BB08B2" w:rsidRDefault="00D27FF0" w:rsidP="00D27FF0">
            <w:pPr>
              <w:pStyle w:val="FSTableText"/>
              <w:rPr>
                <w:lang w:bidi="ar-SA"/>
              </w:rPr>
            </w:pPr>
            <w:r w:rsidRPr="00BB08B2">
              <w:rPr>
                <w:lang w:bidi="ar-SA"/>
              </w:rPr>
              <w:t>14.1.2</w:t>
            </w:r>
          </w:p>
        </w:tc>
        <w:tc>
          <w:tcPr>
            <w:tcW w:w="1409" w:type="dxa"/>
          </w:tcPr>
          <w:p w14:paraId="05DA0D81" w14:textId="77777777" w:rsidR="00D27FF0" w:rsidRPr="00BB08B2" w:rsidRDefault="00D27FF0" w:rsidP="00D27FF0">
            <w:pPr>
              <w:pStyle w:val="FSTableText"/>
              <w:rPr>
                <w:lang w:bidi="ar-SA"/>
              </w:rPr>
            </w:pPr>
            <w:r w:rsidRPr="00BB08B2">
              <w:rPr>
                <w:lang w:bidi="ar-SA"/>
              </w:rPr>
              <w:t>Fruit and vegetable juices and fruit and vegetable juice products</w:t>
            </w:r>
          </w:p>
        </w:tc>
        <w:tc>
          <w:tcPr>
            <w:tcW w:w="1145" w:type="dxa"/>
          </w:tcPr>
          <w:p w14:paraId="30A0AAF1" w14:textId="5002308F" w:rsidR="00D27FF0" w:rsidRPr="00E719C7" w:rsidRDefault="00D27FF0" w:rsidP="00D27FF0">
            <w:pPr>
              <w:pStyle w:val="FSTableText"/>
              <w:jc w:val="right"/>
              <w:rPr>
                <w:lang w:bidi="ar-SA"/>
              </w:rPr>
            </w:pPr>
            <w:r w:rsidRPr="00E719C7">
              <w:rPr>
                <w:lang w:bidi="ar-SA"/>
              </w:rPr>
              <w:t>50</w:t>
            </w:r>
          </w:p>
        </w:tc>
        <w:tc>
          <w:tcPr>
            <w:tcW w:w="992" w:type="dxa"/>
          </w:tcPr>
          <w:p w14:paraId="1944BABF" w14:textId="385F071D" w:rsidR="00D27FF0" w:rsidRPr="000A031B" w:rsidRDefault="00D27FF0" w:rsidP="00D27FF0">
            <w:pPr>
              <w:pStyle w:val="FSTableText"/>
              <w:jc w:val="right"/>
              <w:rPr>
                <w:lang w:bidi="ar-SA"/>
              </w:rPr>
            </w:pPr>
            <w:r w:rsidRPr="000A031B">
              <w:rPr>
                <w:lang w:bidi="ar-SA"/>
              </w:rPr>
              <w:t>50</w:t>
            </w:r>
          </w:p>
        </w:tc>
      </w:tr>
      <w:tr w:rsidR="00D27FF0" w:rsidRPr="008F587C" w14:paraId="76661D74" w14:textId="77777777" w:rsidTr="000256D8">
        <w:tc>
          <w:tcPr>
            <w:tcW w:w="1271" w:type="dxa"/>
            <w:vMerge/>
          </w:tcPr>
          <w:p w14:paraId="7A422ECD" w14:textId="77777777" w:rsidR="00D27FF0" w:rsidRPr="000A7E00" w:rsidRDefault="00D27FF0" w:rsidP="00D27FF0">
            <w:pPr>
              <w:pStyle w:val="FSTableText"/>
              <w:rPr>
                <w:lang w:bidi="ar-SA"/>
              </w:rPr>
            </w:pPr>
          </w:p>
        </w:tc>
        <w:tc>
          <w:tcPr>
            <w:tcW w:w="1276" w:type="dxa"/>
            <w:vMerge/>
          </w:tcPr>
          <w:p w14:paraId="580A6888" w14:textId="77777777" w:rsidR="00D27FF0" w:rsidRPr="000A7E00" w:rsidDel="00923388" w:rsidRDefault="00D27FF0" w:rsidP="00D27FF0">
            <w:pPr>
              <w:pStyle w:val="FSTableText"/>
              <w:rPr>
                <w:lang w:bidi="ar-SA"/>
              </w:rPr>
            </w:pPr>
          </w:p>
        </w:tc>
        <w:tc>
          <w:tcPr>
            <w:tcW w:w="997" w:type="dxa"/>
            <w:vMerge/>
          </w:tcPr>
          <w:p w14:paraId="2258FF34" w14:textId="77777777" w:rsidR="00D27FF0" w:rsidRPr="000A7E00" w:rsidRDefault="00D27FF0" w:rsidP="00D27FF0">
            <w:pPr>
              <w:pStyle w:val="FSTableText"/>
              <w:jc w:val="right"/>
              <w:rPr>
                <w:lang w:bidi="ar-SA"/>
              </w:rPr>
            </w:pPr>
          </w:p>
        </w:tc>
        <w:tc>
          <w:tcPr>
            <w:tcW w:w="1129" w:type="dxa"/>
          </w:tcPr>
          <w:p w14:paraId="4B43208B" w14:textId="77777777" w:rsidR="00D27FF0" w:rsidRPr="00BB08B2" w:rsidRDefault="00D27FF0" w:rsidP="00D27FF0">
            <w:pPr>
              <w:pStyle w:val="FSTableText"/>
              <w:rPr>
                <w:lang w:bidi="ar-SA"/>
              </w:rPr>
            </w:pPr>
            <w:r w:rsidRPr="00BB08B2">
              <w:rPr>
                <w:lang w:bidi="ar-SA"/>
              </w:rPr>
              <w:t>14.1.3</w:t>
            </w:r>
          </w:p>
        </w:tc>
        <w:tc>
          <w:tcPr>
            <w:tcW w:w="1557" w:type="dxa"/>
          </w:tcPr>
          <w:p w14:paraId="6944463E" w14:textId="77777777" w:rsidR="00D27FF0" w:rsidRPr="00BB08B2" w:rsidDel="00923388" w:rsidRDefault="00D27FF0" w:rsidP="00D27FF0">
            <w:pPr>
              <w:pStyle w:val="FSTableText"/>
              <w:rPr>
                <w:lang w:bidi="ar-SA"/>
              </w:rPr>
            </w:pPr>
            <w:r w:rsidRPr="00BB08B2">
              <w:rPr>
                <w:lang w:bidi="ar-SA"/>
              </w:rPr>
              <w:t>14.1.3</w:t>
            </w:r>
          </w:p>
        </w:tc>
        <w:tc>
          <w:tcPr>
            <w:tcW w:w="1409" w:type="dxa"/>
          </w:tcPr>
          <w:p w14:paraId="7B4798E1" w14:textId="77777777" w:rsidR="00D27FF0" w:rsidRPr="00BB08B2" w:rsidDel="00923388" w:rsidRDefault="00D27FF0" w:rsidP="00D27FF0">
            <w:pPr>
              <w:pStyle w:val="FSTableText"/>
              <w:rPr>
                <w:lang w:bidi="ar-SA"/>
              </w:rPr>
            </w:pPr>
            <w:r w:rsidRPr="00BB08B2">
              <w:rPr>
                <w:lang w:bidi="ar-SA"/>
              </w:rPr>
              <w:t>Water based flavoured drinks</w:t>
            </w:r>
          </w:p>
        </w:tc>
        <w:tc>
          <w:tcPr>
            <w:tcW w:w="1145" w:type="dxa"/>
          </w:tcPr>
          <w:p w14:paraId="7D31954C" w14:textId="4C731081" w:rsidR="00D27FF0" w:rsidRPr="008556C4" w:rsidRDefault="00D27FF0" w:rsidP="00D27FF0">
            <w:pPr>
              <w:pStyle w:val="FSTableText"/>
              <w:jc w:val="right"/>
              <w:rPr>
                <w:lang w:bidi="ar-SA"/>
              </w:rPr>
            </w:pPr>
            <w:r w:rsidRPr="008556C4">
              <w:rPr>
                <w:lang w:bidi="ar-SA"/>
              </w:rPr>
              <w:t>50</w:t>
            </w:r>
          </w:p>
        </w:tc>
        <w:tc>
          <w:tcPr>
            <w:tcW w:w="992" w:type="dxa"/>
          </w:tcPr>
          <w:p w14:paraId="04C0E036" w14:textId="480EDC98" w:rsidR="00D27FF0" w:rsidRPr="000A031B" w:rsidDel="00923388" w:rsidRDefault="00D27FF0" w:rsidP="00D27FF0">
            <w:pPr>
              <w:pStyle w:val="FSTableText"/>
              <w:jc w:val="right"/>
              <w:rPr>
                <w:lang w:bidi="ar-SA"/>
              </w:rPr>
            </w:pPr>
            <w:r w:rsidRPr="000A031B">
              <w:rPr>
                <w:lang w:bidi="ar-SA"/>
              </w:rPr>
              <w:t>50</w:t>
            </w:r>
          </w:p>
        </w:tc>
      </w:tr>
      <w:tr w:rsidR="00D27FF0" w:rsidRPr="008F587C" w14:paraId="37394DEC" w14:textId="77777777" w:rsidTr="000256D8">
        <w:trPr>
          <w:trHeight w:val="665"/>
        </w:trPr>
        <w:tc>
          <w:tcPr>
            <w:tcW w:w="1271" w:type="dxa"/>
            <w:vMerge/>
          </w:tcPr>
          <w:p w14:paraId="4684E0EE" w14:textId="77777777" w:rsidR="00D27FF0" w:rsidRPr="000A7E00" w:rsidRDefault="00D27FF0" w:rsidP="00D27FF0">
            <w:pPr>
              <w:pStyle w:val="FSTableText"/>
              <w:rPr>
                <w:lang w:bidi="ar-SA"/>
              </w:rPr>
            </w:pPr>
          </w:p>
        </w:tc>
        <w:tc>
          <w:tcPr>
            <w:tcW w:w="1276" w:type="dxa"/>
            <w:vMerge/>
          </w:tcPr>
          <w:p w14:paraId="72B5D29D" w14:textId="77777777" w:rsidR="00D27FF0" w:rsidRPr="000A7E00" w:rsidRDefault="00D27FF0" w:rsidP="00D27FF0">
            <w:pPr>
              <w:pStyle w:val="FSTableText"/>
              <w:rPr>
                <w:lang w:bidi="ar-SA"/>
              </w:rPr>
            </w:pPr>
          </w:p>
        </w:tc>
        <w:tc>
          <w:tcPr>
            <w:tcW w:w="997" w:type="dxa"/>
            <w:vMerge/>
          </w:tcPr>
          <w:p w14:paraId="445DCE2A" w14:textId="77777777" w:rsidR="00D27FF0" w:rsidRPr="000A7E00" w:rsidRDefault="00D27FF0" w:rsidP="00D27FF0">
            <w:pPr>
              <w:pStyle w:val="FSTableText"/>
              <w:jc w:val="right"/>
              <w:rPr>
                <w:lang w:bidi="ar-SA"/>
              </w:rPr>
            </w:pPr>
          </w:p>
        </w:tc>
        <w:tc>
          <w:tcPr>
            <w:tcW w:w="1129" w:type="dxa"/>
          </w:tcPr>
          <w:p w14:paraId="5DBB0848" w14:textId="77777777" w:rsidR="00D27FF0" w:rsidRPr="00BB08B2" w:rsidRDefault="00D27FF0" w:rsidP="00D27FF0">
            <w:pPr>
              <w:pStyle w:val="FSTableText"/>
              <w:rPr>
                <w:lang w:bidi="ar-SA"/>
              </w:rPr>
            </w:pPr>
            <w:r w:rsidRPr="00BB08B2">
              <w:rPr>
                <w:lang w:bidi="ar-SA"/>
              </w:rPr>
              <w:t>14.1.4</w:t>
            </w:r>
          </w:p>
        </w:tc>
        <w:tc>
          <w:tcPr>
            <w:tcW w:w="1557" w:type="dxa"/>
          </w:tcPr>
          <w:p w14:paraId="6B39A8FD" w14:textId="77777777" w:rsidR="00D27FF0" w:rsidRPr="00BB08B2" w:rsidRDefault="00D27FF0" w:rsidP="00D27FF0">
            <w:pPr>
              <w:pStyle w:val="FSTableText"/>
              <w:rPr>
                <w:lang w:bidi="ar-SA"/>
              </w:rPr>
            </w:pPr>
            <w:r w:rsidRPr="00BB08B2">
              <w:rPr>
                <w:lang w:bidi="ar-SA"/>
              </w:rPr>
              <w:t>14.1.4</w:t>
            </w:r>
          </w:p>
        </w:tc>
        <w:tc>
          <w:tcPr>
            <w:tcW w:w="1409" w:type="dxa"/>
          </w:tcPr>
          <w:p w14:paraId="1E14F543" w14:textId="77777777" w:rsidR="00D27FF0" w:rsidRPr="00BB08B2" w:rsidRDefault="00D27FF0" w:rsidP="00D27FF0">
            <w:pPr>
              <w:pStyle w:val="FSTableText"/>
              <w:rPr>
                <w:lang w:bidi="ar-SA"/>
              </w:rPr>
            </w:pPr>
            <w:r w:rsidRPr="00BB08B2">
              <w:rPr>
                <w:lang w:bidi="ar-SA"/>
              </w:rPr>
              <w:t>Formulated Beverages</w:t>
            </w:r>
          </w:p>
        </w:tc>
        <w:tc>
          <w:tcPr>
            <w:tcW w:w="1145" w:type="dxa"/>
          </w:tcPr>
          <w:p w14:paraId="3008EB68" w14:textId="241F24B9" w:rsidR="00D27FF0" w:rsidRPr="008556C4" w:rsidRDefault="00D27FF0" w:rsidP="00D27FF0">
            <w:pPr>
              <w:pStyle w:val="FSTableText"/>
              <w:jc w:val="right"/>
              <w:rPr>
                <w:lang w:bidi="ar-SA"/>
              </w:rPr>
            </w:pPr>
            <w:r w:rsidRPr="008556C4">
              <w:rPr>
                <w:lang w:bidi="ar-SA"/>
              </w:rPr>
              <w:t>50</w:t>
            </w:r>
          </w:p>
        </w:tc>
        <w:tc>
          <w:tcPr>
            <w:tcW w:w="992" w:type="dxa"/>
          </w:tcPr>
          <w:p w14:paraId="2511CEDA" w14:textId="60802B45" w:rsidR="00D27FF0" w:rsidRPr="000A031B" w:rsidRDefault="00D27FF0" w:rsidP="00D27FF0">
            <w:pPr>
              <w:pStyle w:val="FSTableText"/>
              <w:jc w:val="right"/>
              <w:rPr>
                <w:lang w:bidi="ar-SA"/>
              </w:rPr>
            </w:pPr>
            <w:r w:rsidRPr="000A031B">
              <w:rPr>
                <w:lang w:bidi="ar-SA"/>
              </w:rPr>
              <w:t>50</w:t>
            </w:r>
          </w:p>
        </w:tc>
      </w:tr>
      <w:tr w:rsidR="00D27FF0" w:rsidRPr="008F587C" w14:paraId="393AF7A0" w14:textId="77777777" w:rsidTr="000256D8">
        <w:tc>
          <w:tcPr>
            <w:tcW w:w="1271" w:type="dxa"/>
            <w:vMerge/>
          </w:tcPr>
          <w:p w14:paraId="48C06256" w14:textId="77777777" w:rsidR="00D27FF0" w:rsidRPr="000A7E00" w:rsidRDefault="00D27FF0" w:rsidP="00D27FF0">
            <w:pPr>
              <w:pStyle w:val="FSTableText"/>
              <w:rPr>
                <w:lang w:bidi="ar-SA"/>
              </w:rPr>
            </w:pPr>
          </w:p>
        </w:tc>
        <w:tc>
          <w:tcPr>
            <w:tcW w:w="1276" w:type="dxa"/>
            <w:vMerge/>
          </w:tcPr>
          <w:p w14:paraId="178946C0" w14:textId="77777777" w:rsidR="00D27FF0" w:rsidRPr="000A7E00" w:rsidRDefault="00D27FF0" w:rsidP="00D27FF0">
            <w:pPr>
              <w:pStyle w:val="FSTableText"/>
              <w:rPr>
                <w:lang w:bidi="ar-SA"/>
              </w:rPr>
            </w:pPr>
          </w:p>
        </w:tc>
        <w:tc>
          <w:tcPr>
            <w:tcW w:w="997" w:type="dxa"/>
            <w:vMerge/>
          </w:tcPr>
          <w:p w14:paraId="086BEE7F" w14:textId="77777777" w:rsidR="00D27FF0" w:rsidRPr="000A7E00" w:rsidRDefault="00D27FF0" w:rsidP="00D27FF0">
            <w:pPr>
              <w:pStyle w:val="FSTableText"/>
              <w:jc w:val="right"/>
              <w:rPr>
                <w:lang w:bidi="ar-SA"/>
              </w:rPr>
            </w:pPr>
          </w:p>
        </w:tc>
        <w:tc>
          <w:tcPr>
            <w:tcW w:w="1129" w:type="dxa"/>
          </w:tcPr>
          <w:p w14:paraId="2FA94133" w14:textId="77777777" w:rsidR="00D27FF0" w:rsidRPr="00BB08B2" w:rsidRDefault="00D27FF0" w:rsidP="00D27FF0">
            <w:pPr>
              <w:pStyle w:val="FSTableText"/>
              <w:rPr>
                <w:lang w:bidi="ar-SA"/>
              </w:rPr>
            </w:pPr>
          </w:p>
        </w:tc>
        <w:tc>
          <w:tcPr>
            <w:tcW w:w="1557" w:type="dxa"/>
          </w:tcPr>
          <w:p w14:paraId="0B370AD0" w14:textId="77777777" w:rsidR="00D27FF0" w:rsidRPr="00BB08B2" w:rsidRDefault="00D27FF0" w:rsidP="00D27FF0">
            <w:pPr>
              <w:pStyle w:val="FSTableText"/>
              <w:rPr>
                <w:lang w:bidi="ar-SA"/>
              </w:rPr>
            </w:pPr>
            <w:r w:rsidRPr="00BB08B2">
              <w:rPr>
                <w:lang w:bidi="ar-SA"/>
              </w:rPr>
              <w:t>14.1.7</w:t>
            </w:r>
          </w:p>
        </w:tc>
        <w:tc>
          <w:tcPr>
            <w:tcW w:w="1409" w:type="dxa"/>
          </w:tcPr>
          <w:p w14:paraId="59A67366" w14:textId="77777777" w:rsidR="00D27FF0" w:rsidRPr="00BB08B2" w:rsidRDefault="00D27FF0" w:rsidP="00D27FF0">
            <w:pPr>
              <w:pStyle w:val="FSTableText"/>
              <w:rPr>
                <w:lang w:bidi="ar-SA"/>
              </w:rPr>
            </w:pPr>
            <w:r w:rsidRPr="00BB08B2">
              <w:rPr>
                <w:lang w:bidi="ar-SA"/>
              </w:rPr>
              <w:t>Soy beverage</w:t>
            </w:r>
          </w:p>
        </w:tc>
        <w:tc>
          <w:tcPr>
            <w:tcW w:w="1145" w:type="dxa"/>
          </w:tcPr>
          <w:p w14:paraId="14C12387" w14:textId="30BCF60A" w:rsidR="00D27FF0" w:rsidRPr="008556C4" w:rsidRDefault="00D27FF0" w:rsidP="00D27FF0">
            <w:pPr>
              <w:pStyle w:val="FSTableText"/>
              <w:jc w:val="right"/>
              <w:rPr>
                <w:lang w:bidi="ar-SA"/>
              </w:rPr>
            </w:pPr>
            <w:r w:rsidRPr="008556C4">
              <w:rPr>
                <w:lang w:bidi="ar-SA"/>
              </w:rPr>
              <w:t>50</w:t>
            </w:r>
          </w:p>
        </w:tc>
        <w:tc>
          <w:tcPr>
            <w:tcW w:w="992" w:type="dxa"/>
          </w:tcPr>
          <w:p w14:paraId="61A605D7" w14:textId="1F65858D" w:rsidR="00D27FF0" w:rsidRPr="000A031B" w:rsidRDefault="00D27FF0" w:rsidP="00D27FF0">
            <w:pPr>
              <w:pStyle w:val="FSTableText"/>
              <w:jc w:val="right"/>
              <w:rPr>
                <w:lang w:bidi="ar-SA"/>
              </w:rPr>
            </w:pPr>
            <w:r w:rsidRPr="000A031B">
              <w:rPr>
                <w:lang w:bidi="ar-SA"/>
              </w:rPr>
              <w:t>50</w:t>
            </w:r>
          </w:p>
        </w:tc>
      </w:tr>
      <w:tr w:rsidR="00D27FF0" w:rsidRPr="008F587C" w14:paraId="13D96ED3" w14:textId="77777777" w:rsidTr="000256D8">
        <w:tc>
          <w:tcPr>
            <w:tcW w:w="1271" w:type="dxa"/>
            <w:vMerge/>
          </w:tcPr>
          <w:p w14:paraId="263A8BE5" w14:textId="77777777" w:rsidR="00D27FF0" w:rsidRPr="000A7E00" w:rsidRDefault="00D27FF0" w:rsidP="00D27FF0">
            <w:pPr>
              <w:pStyle w:val="FSTableText"/>
              <w:rPr>
                <w:lang w:bidi="ar-SA"/>
              </w:rPr>
            </w:pPr>
          </w:p>
        </w:tc>
        <w:tc>
          <w:tcPr>
            <w:tcW w:w="1276" w:type="dxa"/>
            <w:vMerge/>
          </w:tcPr>
          <w:p w14:paraId="2F1590B5" w14:textId="77777777" w:rsidR="00D27FF0" w:rsidRPr="000A7E00" w:rsidRDefault="00D27FF0" w:rsidP="00D27FF0">
            <w:pPr>
              <w:pStyle w:val="FSTableText"/>
              <w:rPr>
                <w:lang w:bidi="ar-SA"/>
              </w:rPr>
            </w:pPr>
          </w:p>
        </w:tc>
        <w:tc>
          <w:tcPr>
            <w:tcW w:w="997" w:type="dxa"/>
            <w:vMerge/>
          </w:tcPr>
          <w:p w14:paraId="695D324A" w14:textId="77777777" w:rsidR="00D27FF0" w:rsidRPr="000A7E00" w:rsidRDefault="00D27FF0" w:rsidP="00D27FF0">
            <w:pPr>
              <w:pStyle w:val="FSTableText"/>
              <w:jc w:val="right"/>
              <w:rPr>
                <w:lang w:bidi="ar-SA"/>
              </w:rPr>
            </w:pPr>
          </w:p>
        </w:tc>
        <w:tc>
          <w:tcPr>
            <w:tcW w:w="1129" w:type="dxa"/>
          </w:tcPr>
          <w:p w14:paraId="375F261D" w14:textId="77777777" w:rsidR="00D27FF0" w:rsidRPr="00BB08B2" w:rsidRDefault="00D27FF0" w:rsidP="00D27FF0">
            <w:pPr>
              <w:pStyle w:val="FSTableText"/>
              <w:rPr>
                <w:lang w:bidi="ar-SA"/>
              </w:rPr>
            </w:pPr>
          </w:p>
        </w:tc>
        <w:tc>
          <w:tcPr>
            <w:tcW w:w="1557" w:type="dxa"/>
          </w:tcPr>
          <w:p w14:paraId="5845E938" w14:textId="77777777" w:rsidR="00D27FF0" w:rsidRPr="00BB08B2" w:rsidRDefault="00D27FF0" w:rsidP="00D27FF0">
            <w:pPr>
              <w:pStyle w:val="FSTableText"/>
              <w:rPr>
                <w:lang w:bidi="ar-SA"/>
              </w:rPr>
            </w:pPr>
            <w:r w:rsidRPr="00BB08B2">
              <w:rPr>
                <w:lang w:bidi="ar-SA"/>
              </w:rPr>
              <w:t>14.1.8</w:t>
            </w:r>
          </w:p>
        </w:tc>
        <w:tc>
          <w:tcPr>
            <w:tcW w:w="1409" w:type="dxa"/>
          </w:tcPr>
          <w:p w14:paraId="0D10FC83" w14:textId="77777777" w:rsidR="00D27FF0" w:rsidRPr="00BB08B2" w:rsidRDefault="00D27FF0" w:rsidP="00D27FF0">
            <w:pPr>
              <w:pStyle w:val="FSTableText"/>
              <w:rPr>
                <w:lang w:bidi="ar-SA"/>
              </w:rPr>
            </w:pPr>
            <w:r w:rsidRPr="00BB08B2">
              <w:rPr>
                <w:lang w:bidi="ar-SA"/>
              </w:rPr>
              <w:t>Cereal beverages</w:t>
            </w:r>
          </w:p>
        </w:tc>
        <w:tc>
          <w:tcPr>
            <w:tcW w:w="1145" w:type="dxa"/>
          </w:tcPr>
          <w:p w14:paraId="5FD6B522" w14:textId="5CE8D845" w:rsidR="00D27FF0" w:rsidRPr="008556C4" w:rsidRDefault="00D27FF0" w:rsidP="00D27FF0">
            <w:pPr>
              <w:pStyle w:val="FSTableText"/>
              <w:jc w:val="right"/>
              <w:rPr>
                <w:lang w:bidi="ar-SA"/>
              </w:rPr>
            </w:pPr>
            <w:r w:rsidRPr="008556C4">
              <w:rPr>
                <w:lang w:bidi="ar-SA"/>
              </w:rPr>
              <w:t>50</w:t>
            </w:r>
          </w:p>
        </w:tc>
        <w:tc>
          <w:tcPr>
            <w:tcW w:w="992" w:type="dxa"/>
          </w:tcPr>
          <w:p w14:paraId="5FB3E808" w14:textId="3A4ABA37" w:rsidR="00D27FF0" w:rsidRPr="000A031B" w:rsidRDefault="00D27FF0" w:rsidP="00D27FF0">
            <w:pPr>
              <w:pStyle w:val="FSTableText"/>
              <w:jc w:val="right"/>
              <w:rPr>
                <w:lang w:bidi="ar-SA"/>
              </w:rPr>
            </w:pPr>
            <w:r w:rsidRPr="000A031B">
              <w:rPr>
                <w:lang w:bidi="ar-SA"/>
              </w:rPr>
              <w:t>50</w:t>
            </w:r>
          </w:p>
        </w:tc>
      </w:tr>
      <w:tr w:rsidR="00D27FF0" w:rsidRPr="008F587C" w14:paraId="7EE99A30" w14:textId="77777777" w:rsidTr="000256D8">
        <w:tc>
          <w:tcPr>
            <w:tcW w:w="1271" w:type="dxa"/>
            <w:vMerge/>
          </w:tcPr>
          <w:p w14:paraId="177D480E" w14:textId="77777777" w:rsidR="00D27FF0" w:rsidRPr="000A7E00" w:rsidRDefault="00D27FF0" w:rsidP="00D27FF0">
            <w:pPr>
              <w:pStyle w:val="FSTableText"/>
              <w:rPr>
                <w:lang w:bidi="ar-SA"/>
              </w:rPr>
            </w:pPr>
          </w:p>
        </w:tc>
        <w:tc>
          <w:tcPr>
            <w:tcW w:w="1276" w:type="dxa"/>
            <w:vMerge/>
          </w:tcPr>
          <w:p w14:paraId="3C420BCA" w14:textId="77777777" w:rsidR="00D27FF0" w:rsidRPr="000A7E00" w:rsidRDefault="00D27FF0" w:rsidP="00D27FF0">
            <w:pPr>
              <w:pStyle w:val="FSTableText"/>
              <w:rPr>
                <w:lang w:bidi="ar-SA"/>
              </w:rPr>
            </w:pPr>
          </w:p>
        </w:tc>
        <w:tc>
          <w:tcPr>
            <w:tcW w:w="997" w:type="dxa"/>
            <w:vMerge/>
          </w:tcPr>
          <w:p w14:paraId="4CCB21E5" w14:textId="77777777" w:rsidR="00D27FF0" w:rsidRPr="000A7E00" w:rsidRDefault="00D27FF0" w:rsidP="00D27FF0">
            <w:pPr>
              <w:pStyle w:val="FSTableText"/>
              <w:jc w:val="right"/>
              <w:rPr>
                <w:lang w:bidi="ar-SA"/>
              </w:rPr>
            </w:pPr>
          </w:p>
        </w:tc>
        <w:tc>
          <w:tcPr>
            <w:tcW w:w="1129" w:type="dxa"/>
          </w:tcPr>
          <w:p w14:paraId="27E01C0B" w14:textId="77777777" w:rsidR="00D27FF0" w:rsidRPr="00BB08B2" w:rsidRDefault="00D27FF0" w:rsidP="00D27FF0">
            <w:pPr>
              <w:pStyle w:val="FSTableText"/>
              <w:rPr>
                <w:lang w:bidi="ar-SA"/>
              </w:rPr>
            </w:pPr>
            <w:r w:rsidRPr="00BB08B2">
              <w:rPr>
                <w:lang w:bidi="ar-SA"/>
              </w:rPr>
              <w:t>20.1</w:t>
            </w:r>
          </w:p>
        </w:tc>
        <w:tc>
          <w:tcPr>
            <w:tcW w:w="1557" w:type="dxa"/>
          </w:tcPr>
          <w:p w14:paraId="5BA0A145" w14:textId="77777777" w:rsidR="00D27FF0" w:rsidRPr="00BB08B2" w:rsidRDefault="00D27FF0" w:rsidP="00D27FF0">
            <w:pPr>
              <w:pStyle w:val="FSTableText"/>
              <w:rPr>
                <w:lang w:bidi="ar-SA"/>
              </w:rPr>
            </w:pPr>
            <w:r w:rsidRPr="00BB08B2">
              <w:rPr>
                <w:lang w:bidi="ar-SA"/>
              </w:rPr>
              <w:t>20.1.1</w:t>
            </w:r>
          </w:p>
        </w:tc>
        <w:tc>
          <w:tcPr>
            <w:tcW w:w="1409" w:type="dxa"/>
          </w:tcPr>
          <w:p w14:paraId="3C57B4A6" w14:textId="77777777" w:rsidR="00D27FF0" w:rsidRPr="00BB08B2" w:rsidRDefault="00D27FF0" w:rsidP="00D27FF0">
            <w:pPr>
              <w:pStyle w:val="FSTableText"/>
              <w:rPr>
                <w:lang w:bidi="ar-SA"/>
              </w:rPr>
            </w:pPr>
            <w:r w:rsidRPr="00BB08B2">
              <w:rPr>
                <w:lang w:bidi="ar-SA"/>
              </w:rPr>
              <w:t>Beverages, non-alcoholic</w:t>
            </w:r>
          </w:p>
        </w:tc>
        <w:tc>
          <w:tcPr>
            <w:tcW w:w="1145" w:type="dxa"/>
          </w:tcPr>
          <w:p w14:paraId="790779DC" w14:textId="695877AC" w:rsidR="00D27FF0" w:rsidRPr="008556C4" w:rsidRDefault="00D27FF0" w:rsidP="00D27FF0">
            <w:pPr>
              <w:pStyle w:val="FSTableText"/>
              <w:jc w:val="right"/>
              <w:rPr>
                <w:lang w:bidi="ar-SA"/>
              </w:rPr>
            </w:pPr>
            <w:r w:rsidRPr="008556C4">
              <w:rPr>
                <w:lang w:bidi="ar-SA"/>
              </w:rPr>
              <w:t>50</w:t>
            </w:r>
          </w:p>
        </w:tc>
        <w:tc>
          <w:tcPr>
            <w:tcW w:w="992" w:type="dxa"/>
          </w:tcPr>
          <w:p w14:paraId="0BBA2351" w14:textId="2C23EB52" w:rsidR="00D27FF0" w:rsidRPr="000A031B" w:rsidRDefault="00D27FF0" w:rsidP="00D27FF0">
            <w:pPr>
              <w:pStyle w:val="FSTableText"/>
              <w:jc w:val="right"/>
              <w:rPr>
                <w:lang w:bidi="ar-SA"/>
              </w:rPr>
            </w:pPr>
            <w:r w:rsidRPr="000A031B">
              <w:rPr>
                <w:lang w:bidi="ar-SA"/>
              </w:rPr>
              <w:t>50</w:t>
            </w:r>
          </w:p>
        </w:tc>
      </w:tr>
      <w:tr w:rsidR="00D27FF0" w:rsidRPr="008F587C" w14:paraId="3BE55098" w14:textId="77777777" w:rsidTr="000256D8">
        <w:tc>
          <w:tcPr>
            <w:tcW w:w="1271" w:type="dxa"/>
            <w:vMerge/>
          </w:tcPr>
          <w:p w14:paraId="62CD1361" w14:textId="77777777" w:rsidR="00D27FF0" w:rsidRPr="000A7E00" w:rsidRDefault="00D27FF0" w:rsidP="00D27FF0">
            <w:pPr>
              <w:pStyle w:val="FSTableText"/>
              <w:rPr>
                <w:lang w:bidi="ar-SA"/>
              </w:rPr>
            </w:pPr>
          </w:p>
        </w:tc>
        <w:tc>
          <w:tcPr>
            <w:tcW w:w="1276" w:type="dxa"/>
            <w:vMerge/>
          </w:tcPr>
          <w:p w14:paraId="706D5876" w14:textId="77777777" w:rsidR="00D27FF0" w:rsidRPr="000A7E00" w:rsidRDefault="00D27FF0" w:rsidP="00D27FF0">
            <w:pPr>
              <w:pStyle w:val="FSTableText"/>
              <w:rPr>
                <w:lang w:bidi="ar-SA"/>
              </w:rPr>
            </w:pPr>
          </w:p>
        </w:tc>
        <w:tc>
          <w:tcPr>
            <w:tcW w:w="997" w:type="dxa"/>
          </w:tcPr>
          <w:p w14:paraId="2DE79A1C" w14:textId="77777777" w:rsidR="00D27FF0" w:rsidRPr="000A7E00" w:rsidRDefault="00D27FF0" w:rsidP="00D27FF0">
            <w:pPr>
              <w:pStyle w:val="FSTableText"/>
              <w:jc w:val="right"/>
              <w:rPr>
                <w:lang w:bidi="ar-SA"/>
              </w:rPr>
            </w:pPr>
          </w:p>
        </w:tc>
        <w:tc>
          <w:tcPr>
            <w:tcW w:w="1129" w:type="dxa"/>
          </w:tcPr>
          <w:p w14:paraId="290FE5BC" w14:textId="77777777" w:rsidR="00D27FF0" w:rsidRPr="00BB08B2" w:rsidRDefault="00D27FF0" w:rsidP="00D27FF0">
            <w:pPr>
              <w:pStyle w:val="FSTableText"/>
              <w:rPr>
                <w:lang w:bidi="ar-SA"/>
              </w:rPr>
            </w:pPr>
          </w:p>
        </w:tc>
        <w:tc>
          <w:tcPr>
            <w:tcW w:w="1557" w:type="dxa"/>
          </w:tcPr>
          <w:p w14:paraId="61ED34A9" w14:textId="77777777" w:rsidR="00D27FF0" w:rsidRPr="00BB08B2" w:rsidRDefault="00D27FF0" w:rsidP="00D27FF0">
            <w:pPr>
              <w:pStyle w:val="FSTableText"/>
              <w:rPr>
                <w:lang w:bidi="ar-SA"/>
              </w:rPr>
            </w:pPr>
            <w:r>
              <w:rPr>
                <w:lang w:bidi="ar-SA"/>
              </w:rPr>
              <w:t>20.1.3.3.1</w:t>
            </w:r>
          </w:p>
        </w:tc>
        <w:tc>
          <w:tcPr>
            <w:tcW w:w="1409" w:type="dxa"/>
          </w:tcPr>
          <w:p w14:paraId="640A2FA7" w14:textId="77777777" w:rsidR="00D27FF0" w:rsidRPr="00BB08B2" w:rsidRDefault="00D27FF0" w:rsidP="00D27FF0">
            <w:pPr>
              <w:pStyle w:val="FSTableText"/>
              <w:rPr>
                <w:lang w:bidi="ar-SA"/>
              </w:rPr>
            </w:pPr>
            <w:r w:rsidRPr="002F017D">
              <w:rPr>
                <w:lang w:bidi="ar-SA"/>
              </w:rPr>
              <w:t>Beverages, non-alcoholic, beverages bases, dry powder</w:t>
            </w:r>
          </w:p>
        </w:tc>
        <w:tc>
          <w:tcPr>
            <w:tcW w:w="1145" w:type="dxa"/>
          </w:tcPr>
          <w:p w14:paraId="1868B6DC" w14:textId="045143E5" w:rsidR="00D27FF0" w:rsidRDefault="00D27FF0" w:rsidP="00D27FF0">
            <w:pPr>
              <w:pStyle w:val="FSTableText"/>
              <w:jc w:val="right"/>
              <w:rPr>
                <w:lang w:bidi="ar-SA"/>
              </w:rPr>
            </w:pPr>
            <w:r>
              <w:rPr>
                <w:lang w:bidi="ar-SA"/>
              </w:rPr>
              <w:t>700</w:t>
            </w:r>
          </w:p>
        </w:tc>
        <w:tc>
          <w:tcPr>
            <w:tcW w:w="992" w:type="dxa"/>
          </w:tcPr>
          <w:p w14:paraId="75D307F6" w14:textId="4635C8E4" w:rsidR="00D27FF0" w:rsidRPr="000A031B" w:rsidRDefault="00D27FF0" w:rsidP="00D27FF0">
            <w:pPr>
              <w:pStyle w:val="FSTableText"/>
              <w:jc w:val="right"/>
              <w:rPr>
                <w:lang w:bidi="ar-SA"/>
              </w:rPr>
            </w:pPr>
            <w:r w:rsidRPr="000A031B">
              <w:rPr>
                <w:lang w:bidi="ar-SA"/>
              </w:rPr>
              <w:t>700</w:t>
            </w:r>
          </w:p>
        </w:tc>
      </w:tr>
      <w:tr w:rsidR="00D27FF0" w:rsidRPr="008F587C" w14:paraId="4EF2EFA2" w14:textId="77777777" w:rsidTr="000256D8">
        <w:tc>
          <w:tcPr>
            <w:tcW w:w="1271" w:type="dxa"/>
            <w:vMerge w:val="restart"/>
          </w:tcPr>
          <w:p w14:paraId="6751A42B" w14:textId="77777777" w:rsidR="00D27FF0" w:rsidRPr="00BB08B2" w:rsidRDefault="00D27FF0" w:rsidP="00D27FF0">
            <w:pPr>
              <w:pStyle w:val="FSTableText"/>
              <w:rPr>
                <w:lang w:bidi="ar-SA"/>
              </w:rPr>
            </w:pPr>
            <w:r w:rsidRPr="00BB08B2">
              <w:rPr>
                <w:lang w:bidi="ar-SA"/>
              </w:rPr>
              <w:t>Dairy products</w:t>
            </w:r>
          </w:p>
          <w:p w14:paraId="4213F45E" w14:textId="77777777" w:rsidR="00D27FF0" w:rsidRPr="00BB08B2" w:rsidRDefault="00D27FF0" w:rsidP="00D27FF0">
            <w:pPr>
              <w:pStyle w:val="FSTableText"/>
              <w:rPr>
                <w:lang w:bidi="ar-SA"/>
              </w:rPr>
            </w:pPr>
          </w:p>
        </w:tc>
        <w:tc>
          <w:tcPr>
            <w:tcW w:w="1276" w:type="dxa"/>
          </w:tcPr>
          <w:p w14:paraId="12927F76" w14:textId="77777777" w:rsidR="00D27FF0" w:rsidRPr="00BB08B2" w:rsidRDefault="00D27FF0" w:rsidP="00D27FF0">
            <w:pPr>
              <w:pStyle w:val="FSTableText"/>
              <w:rPr>
                <w:lang w:bidi="ar-SA"/>
              </w:rPr>
            </w:pPr>
            <w:r w:rsidRPr="00BB08B2">
              <w:rPr>
                <w:lang w:bidi="ar-SA"/>
              </w:rPr>
              <w:t>Yoghurt</w:t>
            </w:r>
          </w:p>
        </w:tc>
        <w:tc>
          <w:tcPr>
            <w:tcW w:w="997" w:type="dxa"/>
            <w:vMerge w:val="restart"/>
          </w:tcPr>
          <w:p w14:paraId="19308605" w14:textId="1EECF875" w:rsidR="00D27FF0" w:rsidRPr="00BB08B2" w:rsidRDefault="00D27FF0" w:rsidP="00D27FF0">
            <w:pPr>
              <w:pStyle w:val="FSTableText"/>
              <w:jc w:val="right"/>
              <w:rPr>
                <w:lang w:bidi="ar-SA"/>
              </w:rPr>
            </w:pPr>
            <w:r w:rsidRPr="00BB08B2">
              <w:rPr>
                <w:lang w:bidi="ar-SA"/>
              </w:rPr>
              <w:t>5</w:t>
            </w:r>
            <w:r w:rsidR="00DE2747">
              <w:rPr>
                <w:lang w:bidi="ar-SA"/>
              </w:rPr>
              <w:t xml:space="preserve"> (3-5)</w:t>
            </w:r>
          </w:p>
          <w:p w14:paraId="75923179" w14:textId="77777777" w:rsidR="00D27FF0" w:rsidRPr="00BB08B2" w:rsidRDefault="00D27FF0" w:rsidP="00D27FF0">
            <w:pPr>
              <w:pStyle w:val="FSTableText"/>
              <w:jc w:val="right"/>
              <w:rPr>
                <w:lang w:bidi="ar-SA"/>
              </w:rPr>
            </w:pPr>
          </w:p>
        </w:tc>
        <w:tc>
          <w:tcPr>
            <w:tcW w:w="1129" w:type="dxa"/>
          </w:tcPr>
          <w:p w14:paraId="0480EFFD" w14:textId="77777777" w:rsidR="00D27FF0" w:rsidRPr="00BB08B2" w:rsidRDefault="00D27FF0" w:rsidP="00D27FF0">
            <w:pPr>
              <w:pStyle w:val="FSTableText"/>
              <w:rPr>
                <w:lang w:bidi="ar-SA"/>
              </w:rPr>
            </w:pPr>
            <w:r w:rsidRPr="00BB08B2">
              <w:rPr>
                <w:lang w:bidi="ar-SA"/>
              </w:rPr>
              <w:t>1.2</w:t>
            </w:r>
          </w:p>
        </w:tc>
        <w:tc>
          <w:tcPr>
            <w:tcW w:w="1557" w:type="dxa"/>
          </w:tcPr>
          <w:p w14:paraId="6183684B" w14:textId="77777777" w:rsidR="00D27FF0" w:rsidRPr="00BB08B2" w:rsidRDefault="00D27FF0" w:rsidP="00D27FF0">
            <w:pPr>
              <w:pStyle w:val="FSTableText"/>
              <w:rPr>
                <w:lang w:bidi="ar-SA"/>
              </w:rPr>
            </w:pPr>
            <w:r w:rsidRPr="00BB08B2">
              <w:rPr>
                <w:lang w:bidi="ar-SA"/>
              </w:rPr>
              <w:t>1.2</w:t>
            </w:r>
          </w:p>
        </w:tc>
        <w:tc>
          <w:tcPr>
            <w:tcW w:w="1409" w:type="dxa"/>
          </w:tcPr>
          <w:p w14:paraId="0944E59C" w14:textId="77777777" w:rsidR="00D27FF0" w:rsidRPr="00BB08B2" w:rsidRDefault="00D27FF0" w:rsidP="00D27FF0">
            <w:pPr>
              <w:pStyle w:val="FSTableText"/>
              <w:rPr>
                <w:lang w:bidi="ar-SA"/>
              </w:rPr>
            </w:pPr>
            <w:r w:rsidRPr="00BB08B2">
              <w:rPr>
                <w:lang w:bidi="ar-SA"/>
              </w:rPr>
              <w:t>Yoghurts</w:t>
            </w:r>
          </w:p>
        </w:tc>
        <w:tc>
          <w:tcPr>
            <w:tcW w:w="1145" w:type="dxa"/>
          </w:tcPr>
          <w:p w14:paraId="23947D7D" w14:textId="5681C77E" w:rsidR="00D27FF0" w:rsidRPr="0097214F" w:rsidRDefault="00D27FF0" w:rsidP="00D27FF0">
            <w:pPr>
              <w:pStyle w:val="FSTableText"/>
              <w:jc w:val="right"/>
              <w:rPr>
                <w:lang w:bidi="ar-SA"/>
              </w:rPr>
            </w:pPr>
            <w:r w:rsidRPr="0097214F">
              <w:rPr>
                <w:lang w:bidi="ar-SA"/>
              </w:rPr>
              <w:t>50</w:t>
            </w:r>
          </w:p>
        </w:tc>
        <w:tc>
          <w:tcPr>
            <w:tcW w:w="992" w:type="dxa"/>
          </w:tcPr>
          <w:p w14:paraId="3329356A" w14:textId="2C99CE85" w:rsidR="00D27FF0" w:rsidRPr="000A031B" w:rsidRDefault="00D27FF0" w:rsidP="00D27FF0">
            <w:pPr>
              <w:pStyle w:val="FSTableText"/>
              <w:jc w:val="right"/>
              <w:rPr>
                <w:lang w:bidi="ar-SA"/>
              </w:rPr>
            </w:pPr>
            <w:r w:rsidRPr="000A031B">
              <w:rPr>
                <w:lang w:bidi="ar-SA"/>
              </w:rPr>
              <w:t>50</w:t>
            </w:r>
          </w:p>
        </w:tc>
      </w:tr>
      <w:tr w:rsidR="00D27FF0" w:rsidRPr="008F587C" w14:paraId="0B2DAC24" w14:textId="77777777" w:rsidTr="000256D8">
        <w:tc>
          <w:tcPr>
            <w:tcW w:w="1271" w:type="dxa"/>
            <w:vMerge/>
          </w:tcPr>
          <w:p w14:paraId="58E008AB" w14:textId="77777777" w:rsidR="00D27FF0" w:rsidRPr="000A7E00" w:rsidRDefault="00D27FF0" w:rsidP="00D27FF0">
            <w:pPr>
              <w:pStyle w:val="FSTableText"/>
              <w:rPr>
                <w:lang w:bidi="ar-SA"/>
              </w:rPr>
            </w:pPr>
          </w:p>
        </w:tc>
        <w:tc>
          <w:tcPr>
            <w:tcW w:w="1276" w:type="dxa"/>
          </w:tcPr>
          <w:p w14:paraId="25B97AC3" w14:textId="77777777" w:rsidR="00D27FF0" w:rsidRPr="000A7E00" w:rsidRDefault="00D27FF0" w:rsidP="00D27FF0">
            <w:pPr>
              <w:pStyle w:val="FSTableText"/>
              <w:rPr>
                <w:lang w:bidi="ar-SA"/>
              </w:rPr>
            </w:pPr>
            <w:r>
              <w:rPr>
                <w:lang w:bidi="ar-SA"/>
              </w:rPr>
              <w:t>C</w:t>
            </w:r>
            <w:r w:rsidRPr="00BB08B2">
              <w:rPr>
                <w:lang w:bidi="ar-SA"/>
              </w:rPr>
              <w:t>heese, cheese products</w:t>
            </w:r>
          </w:p>
        </w:tc>
        <w:tc>
          <w:tcPr>
            <w:tcW w:w="997" w:type="dxa"/>
            <w:vMerge/>
          </w:tcPr>
          <w:p w14:paraId="57A7613B" w14:textId="77777777" w:rsidR="00D27FF0" w:rsidRPr="000A7E00" w:rsidRDefault="00D27FF0" w:rsidP="00D27FF0">
            <w:pPr>
              <w:pStyle w:val="FSTableText"/>
              <w:rPr>
                <w:lang w:bidi="ar-SA"/>
              </w:rPr>
            </w:pPr>
          </w:p>
        </w:tc>
        <w:tc>
          <w:tcPr>
            <w:tcW w:w="1129" w:type="dxa"/>
          </w:tcPr>
          <w:p w14:paraId="4B49FED5" w14:textId="77777777" w:rsidR="00D27FF0" w:rsidRPr="00635757" w:rsidRDefault="00D27FF0" w:rsidP="00D27FF0">
            <w:pPr>
              <w:pStyle w:val="FSTableText"/>
              <w:rPr>
                <w:lang w:bidi="ar-SA"/>
              </w:rPr>
            </w:pPr>
            <w:r w:rsidRPr="00635757">
              <w:rPr>
                <w:lang w:bidi="ar-SA"/>
              </w:rPr>
              <w:t>1.6</w:t>
            </w:r>
          </w:p>
        </w:tc>
        <w:tc>
          <w:tcPr>
            <w:tcW w:w="1557" w:type="dxa"/>
          </w:tcPr>
          <w:p w14:paraId="70C20885" w14:textId="77777777" w:rsidR="00D27FF0" w:rsidRPr="00635757" w:rsidRDefault="00D27FF0" w:rsidP="00D27FF0">
            <w:pPr>
              <w:pStyle w:val="FSTableText"/>
              <w:rPr>
                <w:lang w:bidi="ar-SA"/>
              </w:rPr>
            </w:pPr>
            <w:r w:rsidRPr="00635757">
              <w:rPr>
                <w:lang w:bidi="ar-SA"/>
              </w:rPr>
              <w:t>1.6</w:t>
            </w:r>
          </w:p>
        </w:tc>
        <w:tc>
          <w:tcPr>
            <w:tcW w:w="1409" w:type="dxa"/>
          </w:tcPr>
          <w:p w14:paraId="5ECDB9AB" w14:textId="77777777" w:rsidR="00D27FF0" w:rsidRPr="00635757" w:rsidRDefault="00D27FF0" w:rsidP="00D27FF0">
            <w:pPr>
              <w:pStyle w:val="FSTableText"/>
              <w:rPr>
                <w:lang w:bidi="ar-SA"/>
              </w:rPr>
            </w:pPr>
            <w:r w:rsidRPr="00635757">
              <w:rPr>
                <w:lang w:bidi="ar-SA"/>
              </w:rPr>
              <w:t>Cheese and cheese products</w:t>
            </w:r>
          </w:p>
        </w:tc>
        <w:tc>
          <w:tcPr>
            <w:tcW w:w="1145" w:type="dxa"/>
          </w:tcPr>
          <w:p w14:paraId="475CB879" w14:textId="5F3232BC" w:rsidR="00D27FF0" w:rsidRPr="0097214F" w:rsidRDefault="00D27FF0" w:rsidP="00D27FF0">
            <w:pPr>
              <w:pStyle w:val="FSTableText"/>
              <w:jc w:val="right"/>
              <w:rPr>
                <w:lang w:bidi="ar-SA"/>
              </w:rPr>
            </w:pPr>
            <w:r w:rsidRPr="0097214F">
              <w:rPr>
                <w:lang w:bidi="ar-SA"/>
              </w:rPr>
              <w:t>50</w:t>
            </w:r>
          </w:p>
        </w:tc>
        <w:tc>
          <w:tcPr>
            <w:tcW w:w="992" w:type="dxa"/>
          </w:tcPr>
          <w:p w14:paraId="1558CFEE" w14:textId="40A2F9FA" w:rsidR="00D27FF0" w:rsidRPr="000A031B" w:rsidRDefault="00D27FF0" w:rsidP="00D27FF0">
            <w:pPr>
              <w:pStyle w:val="FSTableText"/>
              <w:jc w:val="right"/>
              <w:rPr>
                <w:lang w:bidi="ar-SA"/>
              </w:rPr>
            </w:pPr>
            <w:r w:rsidRPr="000A031B">
              <w:rPr>
                <w:lang w:bidi="ar-SA"/>
              </w:rPr>
              <w:t>50</w:t>
            </w:r>
          </w:p>
        </w:tc>
      </w:tr>
      <w:tr w:rsidR="00D27FF0" w:rsidRPr="008F587C" w14:paraId="6DC81B57" w14:textId="77777777" w:rsidTr="000256D8">
        <w:tc>
          <w:tcPr>
            <w:tcW w:w="1271" w:type="dxa"/>
            <w:vMerge/>
          </w:tcPr>
          <w:p w14:paraId="723189E9" w14:textId="77777777" w:rsidR="00D27FF0" w:rsidRPr="000A7E00" w:rsidRDefault="00D27FF0" w:rsidP="00D27FF0">
            <w:pPr>
              <w:pStyle w:val="FSTableText"/>
              <w:rPr>
                <w:lang w:bidi="ar-SA"/>
              </w:rPr>
            </w:pPr>
          </w:p>
        </w:tc>
        <w:tc>
          <w:tcPr>
            <w:tcW w:w="1276" w:type="dxa"/>
            <w:vMerge w:val="restart"/>
          </w:tcPr>
          <w:p w14:paraId="7184AF9F" w14:textId="77777777" w:rsidR="00D27FF0" w:rsidRPr="000A7E00" w:rsidRDefault="00D27FF0" w:rsidP="00D27FF0">
            <w:pPr>
              <w:pStyle w:val="FSTableText"/>
              <w:rPr>
                <w:lang w:bidi="ar-SA"/>
              </w:rPr>
            </w:pPr>
            <w:r>
              <w:rPr>
                <w:lang w:bidi="ar-SA"/>
              </w:rPr>
              <w:t>I</w:t>
            </w:r>
            <w:r w:rsidRPr="00BB08B2">
              <w:rPr>
                <w:lang w:bidi="ar-SA"/>
              </w:rPr>
              <w:t>ce blocks and sorbets</w:t>
            </w:r>
          </w:p>
        </w:tc>
        <w:tc>
          <w:tcPr>
            <w:tcW w:w="997" w:type="dxa"/>
            <w:vMerge/>
          </w:tcPr>
          <w:p w14:paraId="0A5249E5" w14:textId="77777777" w:rsidR="00D27FF0" w:rsidRPr="000A7E00" w:rsidRDefault="00D27FF0" w:rsidP="00D27FF0">
            <w:pPr>
              <w:pStyle w:val="FSTableText"/>
              <w:rPr>
                <w:lang w:bidi="ar-SA"/>
              </w:rPr>
            </w:pPr>
          </w:p>
        </w:tc>
        <w:tc>
          <w:tcPr>
            <w:tcW w:w="1129" w:type="dxa"/>
          </w:tcPr>
          <w:p w14:paraId="11E995A9" w14:textId="77777777" w:rsidR="00D27FF0" w:rsidRPr="00635757" w:rsidRDefault="00D27FF0" w:rsidP="00D27FF0">
            <w:pPr>
              <w:pStyle w:val="FSTableText"/>
              <w:rPr>
                <w:lang w:bidi="ar-SA"/>
              </w:rPr>
            </w:pPr>
            <w:r w:rsidRPr="00635757">
              <w:rPr>
                <w:lang w:bidi="ar-SA"/>
              </w:rPr>
              <w:t>3.1</w:t>
            </w:r>
          </w:p>
        </w:tc>
        <w:tc>
          <w:tcPr>
            <w:tcW w:w="1557" w:type="dxa"/>
          </w:tcPr>
          <w:p w14:paraId="491F221A" w14:textId="77777777" w:rsidR="00D27FF0" w:rsidRPr="00635757" w:rsidRDefault="00D27FF0" w:rsidP="00D27FF0">
            <w:pPr>
              <w:pStyle w:val="FSTableText"/>
              <w:rPr>
                <w:lang w:bidi="ar-SA"/>
              </w:rPr>
            </w:pPr>
            <w:r w:rsidRPr="00635757">
              <w:rPr>
                <w:lang w:bidi="ar-SA"/>
              </w:rPr>
              <w:t>3.1.2.</w:t>
            </w:r>
            <w:r>
              <w:rPr>
                <w:lang w:bidi="ar-SA"/>
              </w:rPr>
              <w:t>2</w:t>
            </w:r>
          </w:p>
        </w:tc>
        <w:tc>
          <w:tcPr>
            <w:tcW w:w="1409" w:type="dxa"/>
          </w:tcPr>
          <w:p w14:paraId="4A6C11A4" w14:textId="4F661863" w:rsidR="00D27FF0" w:rsidRPr="00635757" w:rsidRDefault="00D27FF0" w:rsidP="00D27FF0">
            <w:pPr>
              <w:pStyle w:val="FSTableText"/>
              <w:rPr>
                <w:lang w:bidi="ar-SA"/>
              </w:rPr>
            </w:pPr>
            <w:r w:rsidRPr="00AE5FF2">
              <w:rPr>
                <w:lang w:bidi="ar-SA"/>
              </w:rPr>
              <w:t>Ice confection, sold frozen, dairy</w:t>
            </w:r>
          </w:p>
        </w:tc>
        <w:tc>
          <w:tcPr>
            <w:tcW w:w="1145" w:type="dxa"/>
          </w:tcPr>
          <w:p w14:paraId="09A49BBB" w14:textId="2B10E1D0" w:rsidR="00D27FF0" w:rsidRPr="0097214F" w:rsidRDefault="00D27FF0" w:rsidP="00D27FF0">
            <w:pPr>
              <w:pStyle w:val="FSTableText"/>
              <w:jc w:val="right"/>
              <w:rPr>
                <w:lang w:bidi="ar-SA"/>
              </w:rPr>
            </w:pPr>
            <w:r w:rsidRPr="0097214F">
              <w:rPr>
                <w:lang w:bidi="ar-SA"/>
              </w:rPr>
              <w:t>50</w:t>
            </w:r>
          </w:p>
        </w:tc>
        <w:tc>
          <w:tcPr>
            <w:tcW w:w="992" w:type="dxa"/>
          </w:tcPr>
          <w:p w14:paraId="2EEDA462" w14:textId="473CFC37" w:rsidR="00D27FF0" w:rsidRPr="000A031B" w:rsidRDefault="00D27FF0" w:rsidP="00D27FF0">
            <w:pPr>
              <w:pStyle w:val="FSTableText"/>
              <w:jc w:val="right"/>
              <w:rPr>
                <w:lang w:bidi="ar-SA"/>
              </w:rPr>
            </w:pPr>
            <w:r w:rsidRPr="000A031B">
              <w:rPr>
                <w:lang w:bidi="ar-SA"/>
              </w:rPr>
              <w:t>50</w:t>
            </w:r>
          </w:p>
        </w:tc>
      </w:tr>
      <w:tr w:rsidR="00D27FF0" w:rsidRPr="008F587C" w14:paraId="0905FE9D" w14:textId="77777777" w:rsidTr="000256D8">
        <w:tc>
          <w:tcPr>
            <w:tcW w:w="1271" w:type="dxa"/>
            <w:vMerge/>
          </w:tcPr>
          <w:p w14:paraId="30CDCD58" w14:textId="77777777" w:rsidR="00D27FF0" w:rsidRPr="000A7E00" w:rsidRDefault="00D27FF0" w:rsidP="00D27FF0">
            <w:pPr>
              <w:pStyle w:val="FSTableText"/>
              <w:rPr>
                <w:lang w:bidi="ar-SA"/>
              </w:rPr>
            </w:pPr>
          </w:p>
        </w:tc>
        <w:tc>
          <w:tcPr>
            <w:tcW w:w="1276" w:type="dxa"/>
            <w:vMerge/>
          </w:tcPr>
          <w:p w14:paraId="624B82CE" w14:textId="77777777" w:rsidR="00D27FF0" w:rsidRPr="000A7E00" w:rsidRDefault="00D27FF0" w:rsidP="00D27FF0">
            <w:pPr>
              <w:pStyle w:val="FSTableText"/>
              <w:rPr>
                <w:lang w:bidi="ar-SA"/>
              </w:rPr>
            </w:pPr>
          </w:p>
        </w:tc>
        <w:tc>
          <w:tcPr>
            <w:tcW w:w="997" w:type="dxa"/>
            <w:vMerge/>
          </w:tcPr>
          <w:p w14:paraId="05E610E0" w14:textId="77777777" w:rsidR="00D27FF0" w:rsidRPr="000A7E00" w:rsidRDefault="00D27FF0" w:rsidP="00D27FF0">
            <w:pPr>
              <w:pStyle w:val="FSTableText"/>
              <w:rPr>
                <w:lang w:bidi="ar-SA"/>
              </w:rPr>
            </w:pPr>
          </w:p>
        </w:tc>
        <w:tc>
          <w:tcPr>
            <w:tcW w:w="1129" w:type="dxa"/>
          </w:tcPr>
          <w:p w14:paraId="66221466" w14:textId="77777777" w:rsidR="00D27FF0" w:rsidRPr="00635757" w:rsidRDefault="00D27FF0" w:rsidP="00D27FF0">
            <w:pPr>
              <w:pStyle w:val="FSTableText"/>
              <w:rPr>
                <w:lang w:bidi="ar-SA"/>
              </w:rPr>
            </w:pPr>
          </w:p>
        </w:tc>
        <w:tc>
          <w:tcPr>
            <w:tcW w:w="1557" w:type="dxa"/>
          </w:tcPr>
          <w:p w14:paraId="447581A5" w14:textId="77777777" w:rsidR="00D27FF0" w:rsidRPr="00635757" w:rsidRDefault="00D27FF0" w:rsidP="00D27FF0">
            <w:pPr>
              <w:pStyle w:val="FSTableText"/>
              <w:rPr>
                <w:lang w:bidi="ar-SA"/>
              </w:rPr>
            </w:pPr>
            <w:r w:rsidRPr="00635757">
              <w:rPr>
                <w:lang w:bidi="ar-SA"/>
              </w:rPr>
              <w:t>3.2</w:t>
            </w:r>
          </w:p>
        </w:tc>
        <w:tc>
          <w:tcPr>
            <w:tcW w:w="1409" w:type="dxa"/>
          </w:tcPr>
          <w:p w14:paraId="6AFB62B1" w14:textId="77777777" w:rsidR="00D27FF0" w:rsidRPr="00635757" w:rsidRDefault="00D27FF0" w:rsidP="00D27FF0">
            <w:pPr>
              <w:pStyle w:val="FSTableText"/>
              <w:rPr>
                <w:lang w:bidi="ar-SA"/>
              </w:rPr>
            </w:pPr>
            <w:r w:rsidRPr="00635757">
              <w:rPr>
                <w:lang w:bidi="ar-SA"/>
              </w:rPr>
              <w:t>Ice cream</w:t>
            </w:r>
          </w:p>
        </w:tc>
        <w:tc>
          <w:tcPr>
            <w:tcW w:w="1145" w:type="dxa"/>
          </w:tcPr>
          <w:p w14:paraId="050CAF4C" w14:textId="2370120E" w:rsidR="00D27FF0" w:rsidRPr="0097214F" w:rsidRDefault="00D27FF0" w:rsidP="00D27FF0">
            <w:pPr>
              <w:pStyle w:val="FSTableText"/>
              <w:jc w:val="right"/>
              <w:rPr>
                <w:lang w:bidi="ar-SA"/>
              </w:rPr>
            </w:pPr>
            <w:r w:rsidRPr="0097214F">
              <w:rPr>
                <w:lang w:bidi="ar-SA"/>
              </w:rPr>
              <w:t>50</w:t>
            </w:r>
          </w:p>
        </w:tc>
        <w:tc>
          <w:tcPr>
            <w:tcW w:w="992" w:type="dxa"/>
          </w:tcPr>
          <w:p w14:paraId="490612A4" w14:textId="2044A8CE" w:rsidR="00D27FF0" w:rsidRPr="000A031B" w:rsidRDefault="00D27FF0" w:rsidP="00D27FF0">
            <w:pPr>
              <w:pStyle w:val="FSTableText"/>
              <w:jc w:val="right"/>
              <w:rPr>
                <w:lang w:bidi="ar-SA"/>
              </w:rPr>
            </w:pPr>
            <w:r w:rsidRPr="000A031B">
              <w:rPr>
                <w:lang w:bidi="ar-SA"/>
              </w:rPr>
              <w:t>50</w:t>
            </w:r>
          </w:p>
        </w:tc>
      </w:tr>
      <w:tr w:rsidR="00D27FF0" w:rsidRPr="008F587C" w14:paraId="3F96D34F" w14:textId="77777777" w:rsidTr="000256D8">
        <w:tc>
          <w:tcPr>
            <w:tcW w:w="1271" w:type="dxa"/>
            <w:vMerge/>
          </w:tcPr>
          <w:p w14:paraId="46058921" w14:textId="77777777" w:rsidR="00D27FF0" w:rsidRPr="000A7E00" w:rsidRDefault="00D27FF0" w:rsidP="00D27FF0">
            <w:pPr>
              <w:pStyle w:val="FSTableText"/>
              <w:rPr>
                <w:lang w:bidi="ar-SA"/>
              </w:rPr>
            </w:pPr>
          </w:p>
        </w:tc>
        <w:tc>
          <w:tcPr>
            <w:tcW w:w="1276" w:type="dxa"/>
            <w:vMerge/>
          </w:tcPr>
          <w:p w14:paraId="5D6A8463" w14:textId="77777777" w:rsidR="00D27FF0" w:rsidRPr="000A7E00" w:rsidRDefault="00D27FF0" w:rsidP="00D27FF0">
            <w:pPr>
              <w:pStyle w:val="FSTableText"/>
              <w:rPr>
                <w:lang w:bidi="ar-SA"/>
              </w:rPr>
            </w:pPr>
          </w:p>
        </w:tc>
        <w:tc>
          <w:tcPr>
            <w:tcW w:w="997" w:type="dxa"/>
            <w:vMerge/>
          </w:tcPr>
          <w:p w14:paraId="5A65BC27" w14:textId="77777777" w:rsidR="00D27FF0" w:rsidRPr="000A7E00" w:rsidRDefault="00D27FF0" w:rsidP="00D27FF0">
            <w:pPr>
              <w:pStyle w:val="FSTableText"/>
              <w:rPr>
                <w:lang w:bidi="ar-SA"/>
              </w:rPr>
            </w:pPr>
          </w:p>
        </w:tc>
        <w:tc>
          <w:tcPr>
            <w:tcW w:w="1129" w:type="dxa"/>
          </w:tcPr>
          <w:p w14:paraId="0BF01D7B" w14:textId="77777777" w:rsidR="00D27FF0" w:rsidRPr="00635757" w:rsidRDefault="00D27FF0" w:rsidP="00D27FF0">
            <w:pPr>
              <w:pStyle w:val="FSTableText"/>
              <w:rPr>
                <w:lang w:bidi="ar-SA"/>
              </w:rPr>
            </w:pPr>
          </w:p>
        </w:tc>
        <w:tc>
          <w:tcPr>
            <w:tcW w:w="1557" w:type="dxa"/>
          </w:tcPr>
          <w:p w14:paraId="15A7AE16" w14:textId="77777777" w:rsidR="00D27FF0" w:rsidRPr="00635757" w:rsidRDefault="00D27FF0" w:rsidP="00D27FF0">
            <w:pPr>
              <w:pStyle w:val="FSTableText"/>
              <w:rPr>
                <w:lang w:bidi="ar-SA"/>
              </w:rPr>
            </w:pPr>
            <w:r w:rsidRPr="00635757">
              <w:rPr>
                <w:lang w:bidi="ar-SA"/>
              </w:rPr>
              <w:t>3.3</w:t>
            </w:r>
          </w:p>
        </w:tc>
        <w:tc>
          <w:tcPr>
            <w:tcW w:w="1409" w:type="dxa"/>
          </w:tcPr>
          <w:p w14:paraId="5CCE3085" w14:textId="77777777" w:rsidR="00D27FF0" w:rsidRPr="00635757" w:rsidRDefault="00D27FF0" w:rsidP="00D27FF0">
            <w:pPr>
              <w:pStyle w:val="FSTableText"/>
              <w:rPr>
                <w:lang w:bidi="ar-SA"/>
              </w:rPr>
            </w:pPr>
            <w:r w:rsidRPr="00635757">
              <w:rPr>
                <w:lang w:bidi="ar-SA"/>
              </w:rPr>
              <w:t>Sherbets &amp; sorbets, frozen</w:t>
            </w:r>
          </w:p>
        </w:tc>
        <w:tc>
          <w:tcPr>
            <w:tcW w:w="1145" w:type="dxa"/>
          </w:tcPr>
          <w:p w14:paraId="03A00955" w14:textId="23C45970" w:rsidR="00D27FF0" w:rsidRDefault="00D27FF0" w:rsidP="00D27FF0">
            <w:pPr>
              <w:pStyle w:val="FSTableText"/>
              <w:jc w:val="right"/>
              <w:rPr>
                <w:lang w:bidi="ar-SA"/>
              </w:rPr>
            </w:pPr>
            <w:r>
              <w:rPr>
                <w:lang w:bidi="ar-SA"/>
              </w:rPr>
              <w:t>50</w:t>
            </w:r>
          </w:p>
        </w:tc>
        <w:tc>
          <w:tcPr>
            <w:tcW w:w="992" w:type="dxa"/>
          </w:tcPr>
          <w:p w14:paraId="6D2856CC" w14:textId="536277F0" w:rsidR="00D27FF0" w:rsidRPr="000A031B" w:rsidRDefault="00D27FF0" w:rsidP="00D27FF0">
            <w:pPr>
              <w:pStyle w:val="FSTableText"/>
              <w:jc w:val="right"/>
              <w:rPr>
                <w:lang w:bidi="ar-SA"/>
              </w:rPr>
            </w:pPr>
            <w:r w:rsidRPr="000A031B">
              <w:rPr>
                <w:lang w:bidi="ar-SA"/>
              </w:rPr>
              <w:t>50</w:t>
            </w:r>
          </w:p>
        </w:tc>
      </w:tr>
      <w:tr w:rsidR="00D27FF0" w:rsidRPr="008F587C" w14:paraId="4F514577" w14:textId="77777777" w:rsidTr="000256D8">
        <w:tc>
          <w:tcPr>
            <w:tcW w:w="1271" w:type="dxa"/>
            <w:vMerge/>
          </w:tcPr>
          <w:p w14:paraId="183559A4" w14:textId="77777777" w:rsidR="00D27FF0" w:rsidRPr="000A7E00" w:rsidRDefault="00D27FF0" w:rsidP="00D27FF0">
            <w:pPr>
              <w:pStyle w:val="FSTableText"/>
              <w:rPr>
                <w:lang w:bidi="ar-SA"/>
              </w:rPr>
            </w:pPr>
          </w:p>
        </w:tc>
        <w:tc>
          <w:tcPr>
            <w:tcW w:w="1276" w:type="dxa"/>
          </w:tcPr>
          <w:p w14:paraId="51BC972F" w14:textId="77777777" w:rsidR="00D27FF0" w:rsidRPr="000A7E00" w:rsidRDefault="00D27FF0" w:rsidP="00D27FF0">
            <w:pPr>
              <w:pStyle w:val="FSTableText"/>
              <w:rPr>
                <w:lang w:bidi="ar-SA"/>
              </w:rPr>
            </w:pPr>
            <w:r>
              <w:rPr>
                <w:lang w:bidi="ar-SA"/>
              </w:rPr>
              <w:t>D</w:t>
            </w:r>
            <w:r w:rsidRPr="00635757">
              <w:rPr>
                <w:lang w:bidi="ar-SA"/>
              </w:rPr>
              <w:t>airy and fat based desserts,</w:t>
            </w:r>
          </w:p>
        </w:tc>
        <w:tc>
          <w:tcPr>
            <w:tcW w:w="997" w:type="dxa"/>
            <w:vMerge/>
          </w:tcPr>
          <w:p w14:paraId="4B00BF2A" w14:textId="77777777" w:rsidR="00D27FF0" w:rsidRPr="000A7E00" w:rsidRDefault="00D27FF0" w:rsidP="00D27FF0">
            <w:pPr>
              <w:pStyle w:val="FSTableText"/>
              <w:rPr>
                <w:lang w:bidi="ar-SA"/>
              </w:rPr>
            </w:pPr>
          </w:p>
        </w:tc>
        <w:tc>
          <w:tcPr>
            <w:tcW w:w="1129" w:type="dxa"/>
          </w:tcPr>
          <w:p w14:paraId="76B286F8" w14:textId="77777777" w:rsidR="00D27FF0" w:rsidRPr="00635757" w:rsidRDefault="00D27FF0" w:rsidP="00D27FF0">
            <w:pPr>
              <w:pStyle w:val="FSTableText"/>
              <w:rPr>
                <w:lang w:bidi="ar-SA"/>
              </w:rPr>
            </w:pPr>
            <w:r>
              <w:rPr>
                <w:lang w:bidi="ar-SA"/>
              </w:rPr>
              <w:t>20.2.0.3</w:t>
            </w:r>
          </w:p>
        </w:tc>
        <w:tc>
          <w:tcPr>
            <w:tcW w:w="1557" w:type="dxa"/>
          </w:tcPr>
          <w:p w14:paraId="39F0DAB2" w14:textId="77777777" w:rsidR="00D27FF0" w:rsidRPr="00635757" w:rsidRDefault="00D27FF0" w:rsidP="00D27FF0">
            <w:pPr>
              <w:pStyle w:val="FSTableText"/>
              <w:rPr>
                <w:lang w:bidi="ar-SA"/>
              </w:rPr>
            </w:pPr>
            <w:r w:rsidRPr="00635757">
              <w:rPr>
                <w:lang w:bidi="ar-SA"/>
              </w:rPr>
              <w:t>20.2.1</w:t>
            </w:r>
          </w:p>
        </w:tc>
        <w:tc>
          <w:tcPr>
            <w:tcW w:w="1409" w:type="dxa"/>
          </w:tcPr>
          <w:p w14:paraId="6802A937" w14:textId="77777777" w:rsidR="00D27FF0" w:rsidRPr="00635757" w:rsidRDefault="00D27FF0" w:rsidP="00D27FF0">
            <w:pPr>
              <w:pStyle w:val="FSTableText"/>
              <w:rPr>
                <w:lang w:bidi="ar-SA"/>
              </w:rPr>
            </w:pPr>
            <w:r w:rsidRPr="00635757">
              <w:rPr>
                <w:lang w:bidi="ar-SA"/>
              </w:rPr>
              <w:t>Desserts</w:t>
            </w:r>
          </w:p>
        </w:tc>
        <w:tc>
          <w:tcPr>
            <w:tcW w:w="1145" w:type="dxa"/>
          </w:tcPr>
          <w:p w14:paraId="3896A821" w14:textId="4AC77F1F" w:rsidR="00D27FF0" w:rsidRPr="00413CAB" w:rsidRDefault="00D27FF0" w:rsidP="00D27FF0">
            <w:pPr>
              <w:pStyle w:val="FSTableText"/>
              <w:jc w:val="right"/>
              <w:rPr>
                <w:lang w:bidi="ar-SA"/>
              </w:rPr>
            </w:pPr>
            <w:r w:rsidRPr="00413CAB">
              <w:rPr>
                <w:lang w:bidi="ar-SA"/>
              </w:rPr>
              <w:t>50</w:t>
            </w:r>
          </w:p>
        </w:tc>
        <w:tc>
          <w:tcPr>
            <w:tcW w:w="992" w:type="dxa"/>
          </w:tcPr>
          <w:p w14:paraId="492298EB" w14:textId="38BCA870" w:rsidR="00D27FF0" w:rsidRPr="000A031B" w:rsidRDefault="00D27FF0" w:rsidP="00D27FF0">
            <w:pPr>
              <w:pStyle w:val="FSTableText"/>
              <w:jc w:val="right"/>
              <w:rPr>
                <w:lang w:bidi="ar-SA"/>
              </w:rPr>
            </w:pPr>
            <w:r w:rsidRPr="000A031B">
              <w:rPr>
                <w:lang w:bidi="ar-SA"/>
              </w:rPr>
              <w:t>50</w:t>
            </w:r>
          </w:p>
        </w:tc>
      </w:tr>
      <w:tr w:rsidR="00D27FF0" w:rsidRPr="008F587C" w14:paraId="69F6C066" w14:textId="77777777" w:rsidTr="000256D8">
        <w:tc>
          <w:tcPr>
            <w:tcW w:w="1271" w:type="dxa"/>
            <w:vMerge/>
          </w:tcPr>
          <w:p w14:paraId="7BE2B4C1" w14:textId="77777777" w:rsidR="00D27FF0" w:rsidRPr="000A7E00" w:rsidRDefault="00D27FF0" w:rsidP="00D27FF0">
            <w:pPr>
              <w:pStyle w:val="FSTableText"/>
              <w:rPr>
                <w:lang w:bidi="ar-SA"/>
              </w:rPr>
            </w:pPr>
          </w:p>
        </w:tc>
        <w:tc>
          <w:tcPr>
            <w:tcW w:w="1276" w:type="dxa"/>
          </w:tcPr>
          <w:p w14:paraId="433D37BD" w14:textId="77777777" w:rsidR="00D27FF0" w:rsidRPr="000A7E00" w:rsidRDefault="00D27FF0" w:rsidP="00D27FF0">
            <w:pPr>
              <w:pStyle w:val="FSTableText"/>
              <w:rPr>
                <w:lang w:bidi="ar-SA"/>
              </w:rPr>
            </w:pPr>
            <w:r>
              <w:rPr>
                <w:lang w:bidi="ar-SA"/>
              </w:rPr>
              <w:t>D</w:t>
            </w:r>
            <w:r w:rsidRPr="00BB08B2">
              <w:rPr>
                <w:lang w:bidi="ar-SA"/>
              </w:rPr>
              <w:t>esserts</w:t>
            </w:r>
          </w:p>
        </w:tc>
        <w:tc>
          <w:tcPr>
            <w:tcW w:w="997" w:type="dxa"/>
            <w:vMerge/>
          </w:tcPr>
          <w:p w14:paraId="1E902F98" w14:textId="77777777" w:rsidR="00D27FF0" w:rsidRPr="000A7E00" w:rsidRDefault="00D27FF0" w:rsidP="00D27FF0">
            <w:pPr>
              <w:pStyle w:val="FSTableText"/>
              <w:rPr>
                <w:lang w:bidi="ar-SA"/>
              </w:rPr>
            </w:pPr>
          </w:p>
        </w:tc>
        <w:tc>
          <w:tcPr>
            <w:tcW w:w="1129" w:type="dxa"/>
          </w:tcPr>
          <w:p w14:paraId="1C7E9D35" w14:textId="77777777" w:rsidR="00D27FF0" w:rsidRPr="00635757" w:rsidRDefault="00D27FF0" w:rsidP="00D27FF0">
            <w:pPr>
              <w:pStyle w:val="FSTableText"/>
              <w:rPr>
                <w:lang w:bidi="ar-SA"/>
              </w:rPr>
            </w:pPr>
          </w:p>
        </w:tc>
        <w:tc>
          <w:tcPr>
            <w:tcW w:w="1557" w:type="dxa"/>
          </w:tcPr>
          <w:p w14:paraId="4061BC91" w14:textId="77777777" w:rsidR="00D27FF0" w:rsidRPr="00635757" w:rsidRDefault="00D27FF0" w:rsidP="00D27FF0">
            <w:pPr>
              <w:pStyle w:val="FSTableText"/>
              <w:rPr>
                <w:lang w:bidi="ar-SA"/>
              </w:rPr>
            </w:pPr>
            <w:r w:rsidRPr="00635757">
              <w:rPr>
                <w:lang w:bidi="ar-SA"/>
              </w:rPr>
              <w:t>20.2.1</w:t>
            </w:r>
          </w:p>
        </w:tc>
        <w:tc>
          <w:tcPr>
            <w:tcW w:w="1409" w:type="dxa"/>
          </w:tcPr>
          <w:p w14:paraId="008BD701" w14:textId="77777777" w:rsidR="00D27FF0" w:rsidRPr="00635757" w:rsidRDefault="00D27FF0" w:rsidP="00D27FF0">
            <w:pPr>
              <w:pStyle w:val="FSTableText"/>
              <w:rPr>
                <w:lang w:bidi="ar-SA"/>
              </w:rPr>
            </w:pPr>
            <w:r w:rsidRPr="00635757">
              <w:rPr>
                <w:lang w:bidi="ar-SA"/>
              </w:rPr>
              <w:t>Desserts</w:t>
            </w:r>
          </w:p>
        </w:tc>
        <w:tc>
          <w:tcPr>
            <w:tcW w:w="1145" w:type="dxa"/>
          </w:tcPr>
          <w:p w14:paraId="5A36EC1B" w14:textId="4C26D489" w:rsidR="00D27FF0" w:rsidRPr="00413CAB" w:rsidRDefault="00D27FF0" w:rsidP="00D27FF0">
            <w:pPr>
              <w:pStyle w:val="FSTableText"/>
              <w:jc w:val="right"/>
              <w:rPr>
                <w:lang w:bidi="ar-SA"/>
              </w:rPr>
            </w:pPr>
            <w:r w:rsidRPr="00413CAB">
              <w:rPr>
                <w:lang w:bidi="ar-SA"/>
              </w:rPr>
              <w:t>50</w:t>
            </w:r>
          </w:p>
        </w:tc>
        <w:tc>
          <w:tcPr>
            <w:tcW w:w="992" w:type="dxa"/>
          </w:tcPr>
          <w:p w14:paraId="0FC3EA0D" w14:textId="1E1301C0" w:rsidR="00D27FF0" w:rsidRPr="000A031B" w:rsidRDefault="00D27FF0" w:rsidP="00D27FF0">
            <w:pPr>
              <w:pStyle w:val="FSTableText"/>
              <w:jc w:val="right"/>
              <w:rPr>
                <w:lang w:bidi="ar-SA"/>
              </w:rPr>
            </w:pPr>
            <w:r w:rsidRPr="000A031B">
              <w:rPr>
                <w:lang w:bidi="ar-SA"/>
              </w:rPr>
              <w:t>50</w:t>
            </w:r>
          </w:p>
        </w:tc>
      </w:tr>
      <w:tr w:rsidR="00D27FF0" w:rsidRPr="008F587C" w14:paraId="137714F9" w14:textId="77777777" w:rsidTr="000256D8">
        <w:trPr>
          <w:trHeight w:val="1445"/>
        </w:trPr>
        <w:tc>
          <w:tcPr>
            <w:tcW w:w="1271" w:type="dxa"/>
            <w:vMerge/>
          </w:tcPr>
          <w:p w14:paraId="3A3FFFEE" w14:textId="77777777" w:rsidR="00D27FF0" w:rsidRPr="000A7E00" w:rsidRDefault="00D27FF0" w:rsidP="00D27FF0">
            <w:pPr>
              <w:pStyle w:val="FSTableText"/>
              <w:rPr>
                <w:lang w:bidi="ar-SA"/>
              </w:rPr>
            </w:pPr>
          </w:p>
        </w:tc>
        <w:tc>
          <w:tcPr>
            <w:tcW w:w="1276" w:type="dxa"/>
          </w:tcPr>
          <w:p w14:paraId="444A1AC9" w14:textId="77777777" w:rsidR="00D27FF0" w:rsidRPr="00635757" w:rsidRDefault="00D27FF0" w:rsidP="00D27FF0">
            <w:pPr>
              <w:pStyle w:val="FSTableText"/>
              <w:rPr>
                <w:lang w:bidi="ar-SA"/>
              </w:rPr>
            </w:pPr>
            <w:r w:rsidRPr="00635757">
              <w:rPr>
                <w:lang w:bidi="ar-SA"/>
              </w:rPr>
              <w:t>Custard mix, custard powder and blancmange powder</w:t>
            </w:r>
          </w:p>
        </w:tc>
        <w:tc>
          <w:tcPr>
            <w:tcW w:w="997" w:type="dxa"/>
            <w:vMerge/>
          </w:tcPr>
          <w:p w14:paraId="69F27C3D" w14:textId="77777777" w:rsidR="00D27FF0" w:rsidRPr="00635757" w:rsidRDefault="00D27FF0" w:rsidP="00D27FF0">
            <w:pPr>
              <w:pStyle w:val="FSTableText"/>
              <w:rPr>
                <w:lang w:bidi="ar-SA"/>
              </w:rPr>
            </w:pPr>
          </w:p>
        </w:tc>
        <w:tc>
          <w:tcPr>
            <w:tcW w:w="1129" w:type="dxa"/>
          </w:tcPr>
          <w:p w14:paraId="16952D98" w14:textId="77777777" w:rsidR="00D27FF0" w:rsidRPr="00635757" w:rsidRDefault="00D27FF0" w:rsidP="00D27FF0">
            <w:pPr>
              <w:pStyle w:val="FSTableText"/>
              <w:rPr>
                <w:lang w:bidi="ar-SA"/>
              </w:rPr>
            </w:pPr>
            <w:r w:rsidRPr="00635757">
              <w:rPr>
                <w:lang w:bidi="ar-SA"/>
              </w:rPr>
              <w:t>20.2.0.1</w:t>
            </w:r>
          </w:p>
        </w:tc>
        <w:tc>
          <w:tcPr>
            <w:tcW w:w="1557" w:type="dxa"/>
          </w:tcPr>
          <w:p w14:paraId="7402D63D" w14:textId="77777777" w:rsidR="00D27FF0" w:rsidRPr="000A7E00" w:rsidRDefault="00D27FF0" w:rsidP="00D27FF0">
            <w:pPr>
              <w:pStyle w:val="FSTableText"/>
              <w:rPr>
                <w:lang w:bidi="ar-SA"/>
              </w:rPr>
            </w:pPr>
            <w:r w:rsidRPr="000A7E00">
              <w:rPr>
                <w:lang w:bidi="ar-SA"/>
              </w:rPr>
              <w:t>20.2.1</w:t>
            </w:r>
            <w:r w:rsidRPr="000A7E00" w:rsidDel="00B97ADE">
              <w:rPr>
                <w:lang w:bidi="ar-SA"/>
              </w:rPr>
              <w:t>.</w:t>
            </w:r>
            <w:r w:rsidRPr="000A7E00">
              <w:rPr>
                <w:lang w:bidi="ar-SA"/>
              </w:rPr>
              <w:t>3.2</w:t>
            </w:r>
          </w:p>
        </w:tc>
        <w:tc>
          <w:tcPr>
            <w:tcW w:w="1409" w:type="dxa"/>
          </w:tcPr>
          <w:p w14:paraId="2BE1E0F1" w14:textId="77777777" w:rsidR="00D27FF0" w:rsidRPr="000A7E00" w:rsidRDefault="00D27FF0" w:rsidP="00D27FF0">
            <w:pPr>
              <w:pStyle w:val="FSTableText"/>
              <w:rPr>
                <w:lang w:bidi="ar-SA"/>
              </w:rPr>
            </w:pPr>
            <w:r w:rsidRPr="000A7E00">
              <w:rPr>
                <w:lang w:bidi="ar-SA"/>
              </w:rPr>
              <w:t>Desserts, dairy, no choc/coffee; custard &amp; blanc mange mix/powd</w:t>
            </w:r>
          </w:p>
        </w:tc>
        <w:tc>
          <w:tcPr>
            <w:tcW w:w="1145" w:type="dxa"/>
          </w:tcPr>
          <w:p w14:paraId="3B0031CC" w14:textId="0D17F2EC" w:rsidR="00D27FF0" w:rsidRPr="00413CAB" w:rsidRDefault="00D27FF0" w:rsidP="00D27FF0">
            <w:pPr>
              <w:pStyle w:val="FSTableText"/>
              <w:jc w:val="right"/>
              <w:rPr>
                <w:lang w:bidi="ar-SA"/>
              </w:rPr>
            </w:pPr>
            <w:r w:rsidRPr="00413CAB">
              <w:rPr>
                <w:lang w:bidi="ar-SA"/>
              </w:rPr>
              <w:t>50</w:t>
            </w:r>
          </w:p>
        </w:tc>
        <w:tc>
          <w:tcPr>
            <w:tcW w:w="992" w:type="dxa"/>
          </w:tcPr>
          <w:p w14:paraId="137F3DEB" w14:textId="7D7635F0" w:rsidR="00D27FF0" w:rsidRPr="000A031B" w:rsidRDefault="00D27FF0" w:rsidP="00D27FF0">
            <w:pPr>
              <w:pStyle w:val="FSTableText"/>
              <w:jc w:val="right"/>
              <w:rPr>
                <w:lang w:bidi="ar-SA"/>
              </w:rPr>
            </w:pPr>
            <w:r w:rsidRPr="000A031B">
              <w:rPr>
                <w:lang w:bidi="ar-SA"/>
              </w:rPr>
              <w:t>50</w:t>
            </w:r>
          </w:p>
        </w:tc>
      </w:tr>
      <w:tr w:rsidR="00D27FF0" w:rsidRPr="008F587C" w14:paraId="46286F45" w14:textId="77777777" w:rsidTr="000256D8">
        <w:tc>
          <w:tcPr>
            <w:tcW w:w="1271" w:type="dxa"/>
            <w:vMerge/>
          </w:tcPr>
          <w:p w14:paraId="5A6C5B90" w14:textId="77777777" w:rsidR="00D27FF0" w:rsidRPr="000A7E00" w:rsidRDefault="00D27FF0" w:rsidP="00D27FF0">
            <w:pPr>
              <w:pStyle w:val="FSTableText"/>
              <w:rPr>
                <w:lang w:bidi="ar-SA"/>
              </w:rPr>
            </w:pPr>
          </w:p>
        </w:tc>
        <w:tc>
          <w:tcPr>
            <w:tcW w:w="1276" w:type="dxa"/>
          </w:tcPr>
          <w:p w14:paraId="0A018B9E" w14:textId="77777777" w:rsidR="00D27FF0" w:rsidRPr="00635757" w:rsidRDefault="00D27FF0" w:rsidP="00D27FF0">
            <w:pPr>
              <w:pStyle w:val="FSTableText"/>
              <w:rPr>
                <w:lang w:bidi="ar-SA"/>
              </w:rPr>
            </w:pPr>
            <w:r>
              <w:rPr>
                <w:lang w:bidi="ar-SA"/>
              </w:rPr>
              <w:t>D</w:t>
            </w:r>
            <w:r w:rsidRPr="00BB08B2">
              <w:rPr>
                <w:lang w:bidi="ar-SA"/>
              </w:rPr>
              <w:t>essert toppings</w:t>
            </w:r>
          </w:p>
        </w:tc>
        <w:tc>
          <w:tcPr>
            <w:tcW w:w="997" w:type="dxa"/>
            <w:vMerge/>
          </w:tcPr>
          <w:p w14:paraId="7855D9E0" w14:textId="77777777" w:rsidR="00D27FF0" w:rsidRPr="00635757" w:rsidRDefault="00D27FF0" w:rsidP="00D27FF0">
            <w:pPr>
              <w:pStyle w:val="FSTableText"/>
              <w:rPr>
                <w:lang w:bidi="ar-SA"/>
              </w:rPr>
            </w:pPr>
          </w:p>
        </w:tc>
        <w:tc>
          <w:tcPr>
            <w:tcW w:w="1129" w:type="dxa"/>
          </w:tcPr>
          <w:p w14:paraId="10947065" w14:textId="77777777" w:rsidR="00D27FF0" w:rsidRPr="00635757" w:rsidRDefault="00D27FF0" w:rsidP="00D27FF0">
            <w:pPr>
              <w:pStyle w:val="FSTableText"/>
              <w:rPr>
                <w:lang w:bidi="ar-SA"/>
              </w:rPr>
            </w:pPr>
          </w:p>
        </w:tc>
        <w:tc>
          <w:tcPr>
            <w:tcW w:w="1557" w:type="dxa"/>
          </w:tcPr>
          <w:p w14:paraId="29A89CA6" w14:textId="77777777" w:rsidR="00D27FF0" w:rsidRPr="00635757" w:rsidRDefault="00D27FF0" w:rsidP="00D27FF0">
            <w:pPr>
              <w:pStyle w:val="FSTableText"/>
              <w:rPr>
                <w:lang w:bidi="ar-SA"/>
              </w:rPr>
            </w:pPr>
            <w:r w:rsidRPr="00635757">
              <w:rPr>
                <w:lang w:bidi="ar-SA"/>
              </w:rPr>
              <w:t>20.2.6.1</w:t>
            </w:r>
          </w:p>
        </w:tc>
        <w:tc>
          <w:tcPr>
            <w:tcW w:w="1409" w:type="dxa"/>
          </w:tcPr>
          <w:p w14:paraId="448E4A7F" w14:textId="77777777" w:rsidR="00D27FF0" w:rsidRPr="00635757" w:rsidRDefault="00D27FF0" w:rsidP="00D27FF0">
            <w:pPr>
              <w:pStyle w:val="FSTableText"/>
              <w:rPr>
                <w:lang w:bidi="ar-SA"/>
              </w:rPr>
            </w:pPr>
            <w:r w:rsidRPr="00635757">
              <w:rPr>
                <w:lang w:bidi="ar-SA"/>
              </w:rPr>
              <w:t>Sauces &amp; syrups, sweet</w:t>
            </w:r>
          </w:p>
        </w:tc>
        <w:tc>
          <w:tcPr>
            <w:tcW w:w="1145" w:type="dxa"/>
          </w:tcPr>
          <w:p w14:paraId="3CB4DC25" w14:textId="2384E167" w:rsidR="00D27FF0" w:rsidRPr="00413CAB" w:rsidRDefault="00D27FF0" w:rsidP="00D27FF0">
            <w:pPr>
              <w:pStyle w:val="FSTableText"/>
              <w:jc w:val="right"/>
              <w:rPr>
                <w:lang w:bidi="ar-SA"/>
              </w:rPr>
            </w:pPr>
            <w:r w:rsidRPr="00413CAB">
              <w:rPr>
                <w:lang w:bidi="ar-SA"/>
              </w:rPr>
              <w:t>50</w:t>
            </w:r>
          </w:p>
        </w:tc>
        <w:tc>
          <w:tcPr>
            <w:tcW w:w="992" w:type="dxa"/>
          </w:tcPr>
          <w:p w14:paraId="21CCBAD6" w14:textId="1FB34D9A" w:rsidR="00D27FF0" w:rsidRPr="000A031B" w:rsidRDefault="00D27FF0" w:rsidP="00D27FF0">
            <w:pPr>
              <w:pStyle w:val="FSTableText"/>
              <w:jc w:val="right"/>
              <w:rPr>
                <w:lang w:bidi="ar-SA"/>
              </w:rPr>
            </w:pPr>
            <w:r w:rsidRPr="000A031B">
              <w:rPr>
                <w:lang w:bidi="ar-SA"/>
              </w:rPr>
              <w:t>50</w:t>
            </w:r>
          </w:p>
        </w:tc>
      </w:tr>
      <w:tr w:rsidR="00D27FF0" w:rsidRPr="008F587C" w14:paraId="3DF503BF" w14:textId="77777777" w:rsidTr="000256D8">
        <w:tc>
          <w:tcPr>
            <w:tcW w:w="1271" w:type="dxa"/>
            <w:vMerge/>
          </w:tcPr>
          <w:p w14:paraId="18418781" w14:textId="77777777" w:rsidR="00D27FF0" w:rsidRPr="000A7E00" w:rsidRDefault="00D27FF0" w:rsidP="00D27FF0">
            <w:pPr>
              <w:pStyle w:val="FSTableText"/>
              <w:rPr>
                <w:lang w:bidi="ar-SA"/>
              </w:rPr>
            </w:pPr>
          </w:p>
        </w:tc>
        <w:tc>
          <w:tcPr>
            <w:tcW w:w="1276" w:type="dxa"/>
            <w:vMerge w:val="restart"/>
          </w:tcPr>
          <w:p w14:paraId="24F826BF" w14:textId="77777777" w:rsidR="00D27FF0" w:rsidRPr="00635757" w:rsidRDefault="00D27FF0" w:rsidP="00D27FF0">
            <w:pPr>
              <w:pStyle w:val="FSTableText"/>
              <w:rPr>
                <w:lang w:bidi="ar-SA"/>
              </w:rPr>
            </w:pPr>
            <w:r>
              <w:rPr>
                <w:lang w:bidi="ar-SA"/>
              </w:rPr>
              <w:t>J</w:t>
            </w:r>
            <w:r w:rsidRPr="00635757">
              <w:rPr>
                <w:lang w:bidi="ar-SA"/>
              </w:rPr>
              <w:t>elly</w:t>
            </w:r>
          </w:p>
        </w:tc>
        <w:tc>
          <w:tcPr>
            <w:tcW w:w="997" w:type="dxa"/>
            <w:vMerge/>
          </w:tcPr>
          <w:p w14:paraId="5EF340C8" w14:textId="77777777" w:rsidR="00D27FF0" w:rsidRPr="00635757" w:rsidRDefault="00D27FF0" w:rsidP="00D27FF0">
            <w:pPr>
              <w:pStyle w:val="FSTableText"/>
              <w:rPr>
                <w:lang w:bidi="ar-SA"/>
              </w:rPr>
            </w:pPr>
          </w:p>
        </w:tc>
        <w:tc>
          <w:tcPr>
            <w:tcW w:w="1129" w:type="dxa"/>
          </w:tcPr>
          <w:p w14:paraId="350918DD" w14:textId="77777777" w:rsidR="00D27FF0" w:rsidRPr="00635757" w:rsidRDefault="00D27FF0" w:rsidP="00D27FF0">
            <w:pPr>
              <w:pStyle w:val="FSTableText"/>
              <w:rPr>
                <w:lang w:bidi="ar-SA"/>
              </w:rPr>
            </w:pPr>
            <w:r w:rsidRPr="00635757">
              <w:rPr>
                <w:lang w:bidi="ar-SA"/>
              </w:rPr>
              <w:t>20.2.0.2</w:t>
            </w:r>
          </w:p>
        </w:tc>
        <w:tc>
          <w:tcPr>
            <w:tcW w:w="1557" w:type="dxa"/>
          </w:tcPr>
          <w:p w14:paraId="390BB8D1" w14:textId="77777777" w:rsidR="00D27FF0" w:rsidRPr="000A7E00" w:rsidRDefault="00D27FF0" w:rsidP="00D27FF0">
            <w:pPr>
              <w:pStyle w:val="FSTableText"/>
              <w:rPr>
                <w:lang w:bidi="ar-SA"/>
              </w:rPr>
            </w:pPr>
            <w:r w:rsidRPr="000A7E00">
              <w:rPr>
                <w:lang w:bidi="ar-SA"/>
              </w:rPr>
              <w:t>20.2.1.4.1</w:t>
            </w:r>
          </w:p>
        </w:tc>
        <w:tc>
          <w:tcPr>
            <w:tcW w:w="1409" w:type="dxa"/>
          </w:tcPr>
          <w:p w14:paraId="11BDFE4C" w14:textId="77777777" w:rsidR="00D27FF0" w:rsidRPr="000A7E00" w:rsidRDefault="00D27FF0" w:rsidP="00D27FF0">
            <w:pPr>
              <w:pStyle w:val="FSTableText"/>
              <w:rPr>
                <w:lang w:bidi="ar-SA"/>
              </w:rPr>
            </w:pPr>
            <w:r w:rsidRPr="000A7E00">
              <w:rPr>
                <w:lang w:bidi="ar-SA"/>
              </w:rPr>
              <w:t>Desserts, non-dairy, jelly</w:t>
            </w:r>
          </w:p>
        </w:tc>
        <w:tc>
          <w:tcPr>
            <w:tcW w:w="1145" w:type="dxa"/>
          </w:tcPr>
          <w:p w14:paraId="61482CE5" w14:textId="7DC2A769" w:rsidR="00D27FF0" w:rsidRPr="00413CAB" w:rsidRDefault="00D27FF0" w:rsidP="00D27FF0">
            <w:pPr>
              <w:pStyle w:val="FSTableText"/>
              <w:jc w:val="right"/>
              <w:rPr>
                <w:lang w:bidi="ar-SA"/>
              </w:rPr>
            </w:pPr>
            <w:r w:rsidRPr="00413CAB">
              <w:rPr>
                <w:lang w:bidi="ar-SA"/>
              </w:rPr>
              <w:t>50</w:t>
            </w:r>
          </w:p>
        </w:tc>
        <w:tc>
          <w:tcPr>
            <w:tcW w:w="992" w:type="dxa"/>
          </w:tcPr>
          <w:p w14:paraId="40D17151" w14:textId="295948BC" w:rsidR="00D27FF0" w:rsidRPr="000A031B" w:rsidRDefault="00D27FF0" w:rsidP="00D27FF0">
            <w:pPr>
              <w:pStyle w:val="FSTableText"/>
              <w:jc w:val="right"/>
              <w:rPr>
                <w:lang w:bidi="ar-SA"/>
              </w:rPr>
            </w:pPr>
            <w:r w:rsidRPr="000A031B">
              <w:rPr>
                <w:lang w:bidi="ar-SA"/>
              </w:rPr>
              <w:t>50</w:t>
            </w:r>
          </w:p>
        </w:tc>
      </w:tr>
      <w:tr w:rsidR="00D27FF0" w:rsidRPr="008F587C" w14:paraId="7B1F0306" w14:textId="77777777" w:rsidTr="000256D8">
        <w:tc>
          <w:tcPr>
            <w:tcW w:w="1271" w:type="dxa"/>
            <w:vMerge/>
          </w:tcPr>
          <w:p w14:paraId="7B9D8F9F" w14:textId="77777777" w:rsidR="00D27FF0" w:rsidRPr="000A7E00" w:rsidRDefault="00D27FF0" w:rsidP="00D27FF0">
            <w:pPr>
              <w:pStyle w:val="FSTableText"/>
              <w:rPr>
                <w:lang w:bidi="ar-SA"/>
              </w:rPr>
            </w:pPr>
          </w:p>
        </w:tc>
        <w:tc>
          <w:tcPr>
            <w:tcW w:w="1276" w:type="dxa"/>
            <w:vMerge/>
          </w:tcPr>
          <w:p w14:paraId="669BD3C6" w14:textId="77777777" w:rsidR="00D27FF0" w:rsidRDefault="00D27FF0" w:rsidP="00D27FF0">
            <w:pPr>
              <w:pStyle w:val="FSTableText"/>
              <w:rPr>
                <w:lang w:bidi="ar-SA"/>
              </w:rPr>
            </w:pPr>
          </w:p>
        </w:tc>
        <w:tc>
          <w:tcPr>
            <w:tcW w:w="997" w:type="dxa"/>
            <w:vMerge/>
          </w:tcPr>
          <w:p w14:paraId="03184D71" w14:textId="77777777" w:rsidR="00D27FF0" w:rsidRPr="00635757" w:rsidRDefault="00D27FF0" w:rsidP="00D27FF0">
            <w:pPr>
              <w:pStyle w:val="FSTableText"/>
              <w:rPr>
                <w:lang w:bidi="ar-SA"/>
              </w:rPr>
            </w:pPr>
          </w:p>
        </w:tc>
        <w:tc>
          <w:tcPr>
            <w:tcW w:w="1129" w:type="dxa"/>
          </w:tcPr>
          <w:p w14:paraId="565F9ADA" w14:textId="77777777" w:rsidR="00D27FF0" w:rsidRPr="00635757" w:rsidRDefault="00D27FF0" w:rsidP="00D27FF0">
            <w:pPr>
              <w:pStyle w:val="FSTableText"/>
              <w:rPr>
                <w:lang w:bidi="ar-SA"/>
              </w:rPr>
            </w:pPr>
          </w:p>
        </w:tc>
        <w:tc>
          <w:tcPr>
            <w:tcW w:w="1557" w:type="dxa"/>
          </w:tcPr>
          <w:p w14:paraId="2CC47CE2" w14:textId="77777777" w:rsidR="00D27FF0" w:rsidRPr="000A7E00" w:rsidRDefault="00D27FF0" w:rsidP="00D27FF0">
            <w:pPr>
              <w:pStyle w:val="FSTableText"/>
              <w:rPr>
                <w:lang w:bidi="ar-SA"/>
              </w:rPr>
            </w:pPr>
            <w:r w:rsidRPr="00C56557">
              <w:rPr>
                <w:lang w:bidi="ar-SA"/>
              </w:rPr>
              <w:t>20.2.1.4.1.2.1</w:t>
            </w:r>
          </w:p>
        </w:tc>
        <w:tc>
          <w:tcPr>
            <w:tcW w:w="1409" w:type="dxa"/>
          </w:tcPr>
          <w:p w14:paraId="08F7B2DC" w14:textId="77777777" w:rsidR="00D27FF0" w:rsidRPr="000A7E00" w:rsidRDefault="00D27FF0" w:rsidP="00D27FF0">
            <w:pPr>
              <w:pStyle w:val="FSTableText"/>
              <w:rPr>
                <w:lang w:bidi="ar-SA"/>
              </w:rPr>
            </w:pPr>
            <w:r w:rsidRPr="00C56557">
              <w:rPr>
                <w:lang w:bidi="ar-SA"/>
              </w:rPr>
              <w:t>Desserts, non-dairy, jelly, dry mix, intensely sweetened</w:t>
            </w:r>
          </w:p>
        </w:tc>
        <w:tc>
          <w:tcPr>
            <w:tcW w:w="1145" w:type="dxa"/>
          </w:tcPr>
          <w:p w14:paraId="11CA0E52" w14:textId="462AC0B7" w:rsidR="00D27FF0" w:rsidRPr="000A7E00" w:rsidRDefault="00D27FF0" w:rsidP="00D27FF0">
            <w:pPr>
              <w:pStyle w:val="FSTableText"/>
              <w:jc w:val="right"/>
              <w:rPr>
                <w:lang w:bidi="ar-SA"/>
              </w:rPr>
            </w:pPr>
            <w:r w:rsidRPr="000A7E00">
              <w:rPr>
                <w:lang w:bidi="ar-SA"/>
              </w:rPr>
              <w:t>1400</w:t>
            </w:r>
          </w:p>
        </w:tc>
        <w:tc>
          <w:tcPr>
            <w:tcW w:w="992" w:type="dxa"/>
          </w:tcPr>
          <w:p w14:paraId="219563B6" w14:textId="2C353F4C" w:rsidR="00D27FF0" w:rsidRPr="000A031B" w:rsidRDefault="00D27FF0" w:rsidP="00D27FF0">
            <w:pPr>
              <w:pStyle w:val="FSTableText"/>
              <w:jc w:val="right"/>
              <w:rPr>
                <w:lang w:bidi="ar-SA"/>
              </w:rPr>
            </w:pPr>
            <w:r w:rsidRPr="000A031B">
              <w:rPr>
                <w:lang w:bidi="ar-SA"/>
              </w:rPr>
              <w:t>1400</w:t>
            </w:r>
          </w:p>
        </w:tc>
      </w:tr>
      <w:tr w:rsidR="00D27FF0" w:rsidRPr="008F587C" w14:paraId="7474659F" w14:textId="77777777" w:rsidTr="000256D8">
        <w:tc>
          <w:tcPr>
            <w:tcW w:w="1271" w:type="dxa"/>
            <w:vMerge/>
          </w:tcPr>
          <w:p w14:paraId="6FC3E913" w14:textId="77777777" w:rsidR="00D27FF0" w:rsidRPr="000A7E00" w:rsidRDefault="00D27FF0" w:rsidP="00D27FF0">
            <w:pPr>
              <w:pStyle w:val="FSTableText"/>
              <w:rPr>
                <w:lang w:bidi="ar-SA"/>
              </w:rPr>
            </w:pPr>
          </w:p>
        </w:tc>
        <w:tc>
          <w:tcPr>
            <w:tcW w:w="1276" w:type="dxa"/>
            <w:vMerge/>
          </w:tcPr>
          <w:p w14:paraId="49D16D52" w14:textId="77777777" w:rsidR="00D27FF0" w:rsidRDefault="00D27FF0" w:rsidP="00D27FF0">
            <w:pPr>
              <w:pStyle w:val="FSTableText"/>
              <w:rPr>
                <w:lang w:bidi="ar-SA"/>
              </w:rPr>
            </w:pPr>
          </w:p>
        </w:tc>
        <w:tc>
          <w:tcPr>
            <w:tcW w:w="997" w:type="dxa"/>
            <w:vMerge/>
          </w:tcPr>
          <w:p w14:paraId="025BC087" w14:textId="77777777" w:rsidR="00D27FF0" w:rsidRPr="00635757" w:rsidRDefault="00D27FF0" w:rsidP="00D27FF0">
            <w:pPr>
              <w:pStyle w:val="FSTableText"/>
              <w:rPr>
                <w:lang w:bidi="ar-SA"/>
              </w:rPr>
            </w:pPr>
          </w:p>
        </w:tc>
        <w:tc>
          <w:tcPr>
            <w:tcW w:w="1129" w:type="dxa"/>
          </w:tcPr>
          <w:p w14:paraId="14F5B770" w14:textId="77777777" w:rsidR="00D27FF0" w:rsidRDefault="00D27FF0" w:rsidP="00D27FF0">
            <w:pPr>
              <w:pStyle w:val="FSTableText"/>
              <w:rPr>
                <w:lang w:bidi="ar-SA"/>
              </w:rPr>
            </w:pPr>
          </w:p>
        </w:tc>
        <w:tc>
          <w:tcPr>
            <w:tcW w:w="1557" w:type="dxa"/>
          </w:tcPr>
          <w:p w14:paraId="318B069A" w14:textId="77777777" w:rsidR="00D27FF0" w:rsidRPr="00B97ADE" w:rsidRDefault="00D27FF0" w:rsidP="00D27FF0">
            <w:pPr>
              <w:pStyle w:val="FSTableText"/>
              <w:rPr>
                <w:lang w:bidi="ar-SA"/>
              </w:rPr>
            </w:pPr>
            <w:r w:rsidRPr="00C56557">
              <w:rPr>
                <w:lang w:bidi="ar-SA"/>
              </w:rPr>
              <w:t>20.2.1.4.1.2.2</w:t>
            </w:r>
          </w:p>
        </w:tc>
        <w:tc>
          <w:tcPr>
            <w:tcW w:w="1409" w:type="dxa"/>
          </w:tcPr>
          <w:p w14:paraId="3D89144B" w14:textId="77777777" w:rsidR="00D27FF0" w:rsidRPr="00B97ADE" w:rsidRDefault="00D27FF0" w:rsidP="00D27FF0">
            <w:pPr>
              <w:pStyle w:val="FSTableText"/>
              <w:rPr>
                <w:lang w:bidi="ar-SA"/>
              </w:rPr>
            </w:pPr>
            <w:r w:rsidRPr="00C56557">
              <w:rPr>
                <w:lang w:bidi="ar-SA"/>
              </w:rPr>
              <w:t>Desserts, non-dairy, jelly, dry mix, sugar sweetened</w:t>
            </w:r>
          </w:p>
        </w:tc>
        <w:tc>
          <w:tcPr>
            <w:tcW w:w="1145" w:type="dxa"/>
          </w:tcPr>
          <w:p w14:paraId="453B7A4A" w14:textId="59F3AF05" w:rsidR="00D27FF0" w:rsidRPr="000A7E00" w:rsidRDefault="00D27FF0" w:rsidP="00D27FF0">
            <w:pPr>
              <w:pStyle w:val="FSTableText"/>
              <w:jc w:val="right"/>
              <w:rPr>
                <w:lang w:bidi="ar-SA"/>
              </w:rPr>
            </w:pPr>
            <w:r w:rsidRPr="000A7E00">
              <w:rPr>
                <w:lang w:bidi="ar-SA"/>
              </w:rPr>
              <w:t>300</w:t>
            </w:r>
          </w:p>
        </w:tc>
        <w:tc>
          <w:tcPr>
            <w:tcW w:w="992" w:type="dxa"/>
          </w:tcPr>
          <w:p w14:paraId="4EDC4CA0" w14:textId="1D1EE4C7" w:rsidR="00D27FF0" w:rsidRPr="000A031B" w:rsidRDefault="00D27FF0" w:rsidP="00D27FF0">
            <w:pPr>
              <w:pStyle w:val="FSTableText"/>
              <w:jc w:val="right"/>
              <w:rPr>
                <w:lang w:bidi="ar-SA"/>
              </w:rPr>
            </w:pPr>
            <w:r w:rsidRPr="000A031B">
              <w:rPr>
                <w:lang w:bidi="ar-SA"/>
              </w:rPr>
              <w:t>300</w:t>
            </w:r>
          </w:p>
        </w:tc>
      </w:tr>
      <w:tr w:rsidR="00DE2747" w:rsidRPr="008F587C" w14:paraId="1D8B9689" w14:textId="77777777" w:rsidTr="000256D8">
        <w:tc>
          <w:tcPr>
            <w:tcW w:w="1271" w:type="dxa"/>
            <w:vMerge w:val="restart"/>
          </w:tcPr>
          <w:p w14:paraId="306B7A40" w14:textId="77777777" w:rsidR="00DE2747" w:rsidRPr="00635757" w:rsidRDefault="00DE2747" w:rsidP="00D27FF0">
            <w:pPr>
              <w:pStyle w:val="FSTableText"/>
              <w:rPr>
                <w:lang w:bidi="ar-SA"/>
              </w:rPr>
            </w:pPr>
            <w:r w:rsidRPr="00635757">
              <w:rPr>
                <w:lang w:bidi="ar-SA"/>
              </w:rPr>
              <w:t>Mixed foods</w:t>
            </w:r>
          </w:p>
        </w:tc>
        <w:tc>
          <w:tcPr>
            <w:tcW w:w="1276" w:type="dxa"/>
          </w:tcPr>
          <w:p w14:paraId="263DBBE6" w14:textId="77777777" w:rsidR="00DE2747" w:rsidRPr="00635757" w:rsidRDefault="00DE2747" w:rsidP="00D27FF0">
            <w:pPr>
              <w:pStyle w:val="FSTableText"/>
              <w:rPr>
                <w:lang w:bidi="ar-SA"/>
              </w:rPr>
            </w:pPr>
            <w:r w:rsidRPr="00635757">
              <w:rPr>
                <w:lang w:bidi="ar-SA"/>
              </w:rPr>
              <w:t>Snack foods</w:t>
            </w:r>
          </w:p>
        </w:tc>
        <w:tc>
          <w:tcPr>
            <w:tcW w:w="997" w:type="dxa"/>
          </w:tcPr>
          <w:p w14:paraId="295E2772" w14:textId="3C19ADB5" w:rsidR="00DE2747" w:rsidRPr="00635757" w:rsidRDefault="00DE2747" w:rsidP="00D27FF0">
            <w:pPr>
              <w:pStyle w:val="FSTableText"/>
              <w:jc w:val="right"/>
              <w:rPr>
                <w:lang w:bidi="ar-SA"/>
              </w:rPr>
            </w:pPr>
            <w:r>
              <w:rPr>
                <w:lang w:bidi="ar-SA"/>
              </w:rPr>
              <w:t>10 (5)</w:t>
            </w:r>
          </w:p>
        </w:tc>
        <w:tc>
          <w:tcPr>
            <w:tcW w:w="1129" w:type="dxa"/>
          </w:tcPr>
          <w:p w14:paraId="1C1BFF6E" w14:textId="77777777" w:rsidR="00DE2747" w:rsidRPr="00635757" w:rsidRDefault="00DE2747" w:rsidP="00D27FF0">
            <w:pPr>
              <w:pStyle w:val="FSTableText"/>
              <w:rPr>
                <w:lang w:bidi="ar-SA"/>
              </w:rPr>
            </w:pPr>
          </w:p>
        </w:tc>
        <w:tc>
          <w:tcPr>
            <w:tcW w:w="1557" w:type="dxa"/>
          </w:tcPr>
          <w:p w14:paraId="7922EF95" w14:textId="77777777" w:rsidR="00DE2747" w:rsidRPr="00DE2747" w:rsidRDefault="00DE2747" w:rsidP="00D27FF0">
            <w:pPr>
              <w:pStyle w:val="FSTableText"/>
              <w:rPr>
                <w:lang w:bidi="ar-SA"/>
              </w:rPr>
            </w:pPr>
            <w:r w:rsidRPr="00DE2747">
              <w:rPr>
                <w:lang w:bidi="ar-SA"/>
              </w:rPr>
              <w:t>20.2.4</w:t>
            </w:r>
          </w:p>
        </w:tc>
        <w:tc>
          <w:tcPr>
            <w:tcW w:w="1409" w:type="dxa"/>
          </w:tcPr>
          <w:p w14:paraId="4C4E120D" w14:textId="77777777" w:rsidR="00DE2747" w:rsidRPr="00635757" w:rsidRDefault="00DE2747" w:rsidP="00D27FF0">
            <w:pPr>
              <w:pStyle w:val="FSTableText"/>
              <w:rPr>
                <w:lang w:bidi="ar-SA"/>
              </w:rPr>
            </w:pPr>
            <w:r w:rsidRPr="00635757">
              <w:rPr>
                <w:lang w:bidi="ar-SA"/>
              </w:rPr>
              <w:t>Snack foods</w:t>
            </w:r>
          </w:p>
        </w:tc>
        <w:tc>
          <w:tcPr>
            <w:tcW w:w="1145" w:type="dxa"/>
          </w:tcPr>
          <w:p w14:paraId="56B3F9AC" w14:textId="10D4D25B" w:rsidR="00DE2747" w:rsidRPr="00635757" w:rsidRDefault="00DE2747" w:rsidP="00D27FF0">
            <w:pPr>
              <w:pStyle w:val="FSTableText"/>
              <w:jc w:val="right"/>
              <w:rPr>
                <w:lang w:bidi="ar-SA"/>
              </w:rPr>
            </w:pPr>
            <w:r w:rsidRPr="00635757">
              <w:rPr>
                <w:lang w:bidi="ar-SA"/>
              </w:rPr>
              <w:t>100</w:t>
            </w:r>
          </w:p>
        </w:tc>
        <w:tc>
          <w:tcPr>
            <w:tcW w:w="992" w:type="dxa"/>
          </w:tcPr>
          <w:p w14:paraId="6A175E5A" w14:textId="7DDBF3F7" w:rsidR="00DE2747" w:rsidRPr="000A031B" w:rsidRDefault="00DE2747" w:rsidP="00DE2747">
            <w:pPr>
              <w:pStyle w:val="FSTableText"/>
              <w:jc w:val="right"/>
              <w:rPr>
                <w:lang w:bidi="ar-SA"/>
              </w:rPr>
            </w:pPr>
            <w:r>
              <w:rPr>
                <w:lang w:bidi="ar-SA"/>
              </w:rPr>
              <w:t>50</w:t>
            </w:r>
          </w:p>
        </w:tc>
      </w:tr>
      <w:tr w:rsidR="00DE2747" w:rsidRPr="008F587C" w14:paraId="70D2035A" w14:textId="77777777" w:rsidTr="000256D8">
        <w:tc>
          <w:tcPr>
            <w:tcW w:w="1271" w:type="dxa"/>
            <w:vMerge/>
          </w:tcPr>
          <w:p w14:paraId="56FE5346" w14:textId="77777777" w:rsidR="00DE2747" w:rsidRPr="00635757" w:rsidRDefault="00DE2747" w:rsidP="00D27FF0">
            <w:pPr>
              <w:pStyle w:val="FSTableText"/>
              <w:rPr>
                <w:lang w:bidi="ar-SA"/>
              </w:rPr>
            </w:pPr>
          </w:p>
        </w:tc>
        <w:tc>
          <w:tcPr>
            <w:tcW w:w="1276" w:type="dxa"/>
            <w:vMerge w:val="restart"/>
          </w:tcPr>
          <w:p w14:paraId="75CD94F8" w14:textId="616BE2A9" w:rsidR="00DE2747" w:rsidRPr="00635757" w:rsidRDefault="00DE2747" w:rsidP="00D27FF0">
            <w:pPr>
              <w:pStyle w:val="FSTableText"/>
              <w:rPr>
                <w:lang w:bidi="ar-SA"/>
              </w:rPr>
            </w:pPr>
            <w:r>
              <w:rPr>
                <w:lang w:bidi="ar-SA"/>
              </w:rPr>
              <w:t>Ready to eat meals</w:t>
            </w:r>
          </w:p>
        </w:tc>
        <w:tc>
          <w:tcPr>
            <w:tcW w:w="997" w:type="dxa"/>
            <w:vMerge w:val="restart"/>
          </w:tcPr>
          <w:p w14:paraId="6AD8E78D" w14:textId="0645E659" w:rsidR="00DE2747" w:rsidRPr="00635757" w:rsidRDefault="00DE2747" w:rsidP="00D27FF0">
            <w:pPr>
              <w:pStyle w:val="FSTableText"/>
              <w:jc w:val="right"/>
              <w:rPr>
                <w:lang w:bidi="ar-SA"/>
              </w:rPr>
            </w:pPr>
            <w:r>
              <w:rPr>
                <w:lang w:bidi="ar-SA"/>
              </w:rPr>
              <w:t>10 (5)</w:t>
            </w:r>
          </w:p>
        </w:tc>
        <w:tc>
          <w:tcPr>
            <w:tcW w:w="1129" w:type="dxa"/>
          </w:tcPr>
          <w:p w14:paraId="1E37F6FF" w14:textId="77777777" w:rsidR="00DE2747" w:rsidRPr="00635757" w:rsidRDefault="00DE2747" w:rsidP="00D27FF0">
            <w:pPr>
              <w:pStyle w:val="FSTableText"/>
              <w:rPr>
                <w:lang w:bidi="ar-SA"/>
              </w:rPr>
            </w:pPr>
          </w:p>
        </w:tc>
        <w:tc>
          <w:tcPr>
            <w:tcW w:w="1557" w:type="dxa"/>
          </w:tcPr>
          <w:p w14:paraId="640B6854" w14:textId="77777777" w:rsidR="00DE2747" w:rsidRPr="00635757" w:rsidRDefault="00DE2747" w:rsidP="00D27FF0">
            <w:pPr>
              <w:pStyle w:val="FSTableText"/>
              <w:rPr>
                <w:lang w:bidi="ar-SA"/>
              </w:rPr>
            </w:pPr>
            <w:r w:rsidRPr="00635757">
              <w:rPr>
                <w:lang w:bidi="ar-SA"/>
              </w:rPr>
              <w:t>20.2.5</w:t>
            </w:r>
          </w:p>
        </w:tc>
        <w:tc>
          <w:tcPr>
            <w:tcW w:w="1409" w:type="dxa"/>
          </w:tcPr>
          <w:p w14:paraId="24AE5A99" w14:textId="77777777" w:rsidR="00DE2747" w:rsidRPr="00635757" w:rsidRDefault="00DE2747" w:rsidP="00D27FF0">
            <w:pPr>
              <w:pStyle w:val="FSTableText"/>
              <w:rPr>
                <w:lang w:bidi="ar-SA"/>
              </w:rPr>
            </w:pPr>
            <w:r w:rsidRPr="00635757">
              <w:rPr>
                <w:lang w:bidi="ar-SA"/>
              </w:rPr>
              <w:t>Prepared dishes</w:t>
            </w:r>
          </w:p>
        </w:tc>
        <w:tc>
          <w:tcPr>
            <w:tcW w:w="1145" w:type="dxa"/>
          </w:tcPr>
          <w:p w14:paraId="6A1705B9" w14:textId="6356D9E2" w:rsidR="00DE2747" w:rsidRPr="00635757" w:rsidRDefault="00DE2747" w:rsidP="00D27FF0">
            <w:pPr>
              <w:pStyle w:val="FSTableText"/>
              <w:jc w:val="right"/>
              <w:rPr>
                <w:lang w:bidi="ar-SA"/>
              </w:rPr>
            </w:pPr>
            <w:r w:rsidRPr="00635757">
              <w:rPr>
                <w:lang w:bidi="ar-SA"/>
              </w:rPr>
              <w:t>100</w:t>
            </w:r>
          </w:p>
        </w:tc>
        <w:tc>
          <w:tcPr>
            <w:tcW w:w="992" w:type="dxa"/>
          </w:tcPr>
          <w:p w14:paraId="4FD671A1" w14:textId="3267AEA1" w:rsidR="00DE2747" w:rsidRPr="000A031B" w:rsidRDefault="00DE2747" w:rsidP="00DE2747">
            <w:pPr>
              <w:pStyle w:val="FSTableText"/>
              <w:jc w:val="right"/>
              <w:rPr>
                <w:lang w:bidi="ar-SA"/>
              </w:rPr>
            </w:pPr>
            <w:r w:rsidRPr="000A031B">
              <w:rPr>
                <w:lang w:bidi="ar-SA"/>
              </w:rPr>
              <w:t>50</w:t>
            </w:r>
          </w:p>
        </w:tc>
      </w:tr>
      <w:tr w:rsidR="00DE2747" w:rsidRPr="008F587C" w14:paraId="3A422336" w14:textId="77777777" w:rsidTr="000256D8">
        <w:trPr>
          <w:trHeight w:val="341"/>
        </w:trPr>
        <w:tc>
          <w:tcPr>
            <w:tcW w:w="1271" w:type="dxa"/>
            <w:vMerge/>
          </w:tcPr>
          <w:p w14:paraId="61D0F7C9" w14:textId="77777777" w:rsidR="00DE2747" w:rsidRPr="000A7E00" w:rsidRDefault="00DE2747" w:rsidP="00D27FF0">
            <w:pPr>
              <w:pStyle w:val="FSTableText"/>
              <w:rPr>
                <w:lang w:bidi="ar-SA"/>
              </w:rPr>
            </w:pPr>
          </w:p>
        </w:tc>
        <w:tc>
          <w:tcPr>
            <w:tcW w:w="1276" w:type="dxa"/>
            <w:vMerge/>
          </w:tcPr>
          <w:p w14:paraId="28BEC3AC" w14:textId="77777777" w:rsidR="00DE2747" w:rsidRPr="000A7E00" w:rsidRDefault="00DE2747" w:rsidP="00D27FF0">
            <w:pPr>
              <w:pStyle w:val="FSTableText"/>
              <w:rPr>
                <w:lang w:bidi="ar-SA"/>
              </w:rPr>
            </w:pPr>
          </w:p>
        </w:tc>
        <w:tc>
          <w:tcPr>
            <w:tcW w:w="997" w:type="dxa"/>
            <w:vMerge/>
          </w:tcPr>
          <w:p w14:paraId="3965554F" w14:textId="77777777" w:rsidR="00DE2747" w:rsidRPr="000A7E00" w:rsidRDefault="00DE2747" w:rsidP="00D27FF0">
            <w:pPr>
              <w:pStyle w:val="FSTableText"/>
              <w:jc w:val="right"/>
              <w:rPr>
                <w:lang w:bidi="ar-SA"/>
              </w:rPr>
            </w:pPr>
          </w:p>
        </w:tc>
        <w:tc>
          <w:tcPr>
            <w:tcW w:w="1129" w:type="dxa"/>
          </w:tcPr>
          <w:p w14:paraId="7F867789" w14:textId="77777777" w:rsidR="00DE2747" w:rsidRPr="00647D08" w:rsidRDefault="00DE2747" w:rsidP="00D27FF0">
            <w:pPr>
              <w:pStyle w:val="FSTableText"/>
              <w:rPr>
                <w:lang w:bidi="ar-SA"/>
              </w:rPr>
            </w:pPr>
            <w:r w:rsidRPr="00647D08">
              <w:rPr>
                <w:lang w:bidi="ar-SA"/>
              </w:rPr>
              <w:t>20.2.0.5</w:t>
            </w:r>
          </w:p>
        </w:tc>
        <w:tc>
          <w:tcPr>
            <w:tcW w:w="1557" w:type="dxa"/>
          </w:tcPr>
          <w:p w14:paraId="64A4B9AE" w14:textId="77777777" w:rsidR="00DE2747" w:rsidRPr="00647D08" w:rsidRDefault="00DE2747" w:rsidP="00D27FF0">
            <w:pPr>
              <w:pStyle w:val="FSTableText"/>
              <w:rPr>
                <w:lang w:bidi="ar-SA"/>
              </w:rPr>
            </w:pPr>
            <w:r w:rsidRPr="00647D08">
              <w:rPr>
                <w:lang w:bidi="ar-SA"/>
              </w:rPr>
              <w:t>20.2.8</w:t>
            </w:r>
          </w:p>
        </w:tc>
        <w:tc>
          <w:tcPr>
            <w:tcW w:w="1409" w:type="dxa"/>
          </w:tcPr>
          <w:p w14:paraId="1E742C3E" w14:textId="77777777" w:rsidR="00DE2747" w:rsidRPr="00647D08" w:rsidRDefault="00DE2747" w:rsidP="00D27FF0">
            <w:pPr>
              <w:pStyle w:val="FSTableText"/>
              <w:rPr>
                <w:lang w:bidi="ar-SA"/>
              </w:rPr>
            </w:pPr>
            <w:r w:rsidRPr="00647D08">
              <w:rPr>
                <w:lang w:bidi="ar-SA"/>
              </w:rPr>
              <w:t>Soups</w:t>
            </w:r>
          </w:p>
        </w:tc>
        <w:tc>
          <w:tcPr>
            <w:tcW w:w="1145" w:type="dxa"/>
          </w:tcPr>
          <w:p w14:paraId="7F55A0F5" w14:textId="7330D7C0" w:rsidR="00DE2747" w:rsidRPr="00647D08" w:rsidRDefault="00DE2747" w:rsidP="00D27FF0">
            <w:pPr>
              <w:pStyle w:val="FSTableText"/>
              <w:jc w:val="right"/>
              <w:rPr>
                <w:lang w:bidi="ar-SA"/>
              </w:rPr>
            </w:pPr>
            <w:r w:rsidRPr="00647D08">
              <w:rPr>
                <w:lang w:bidi="ar-SA"/>
              </w:rPr>
              <w:t>100</w:t>
            </w:r>
          </w:p>
        </w:tc>
        <w:tc>
          <w:tcPr>
            <w:tcW w:w="992" w:type="dxa"/>
          </w:tcPr>
          <w:p w14:paraId="69D20CCE" w14:textId="09EEAA46" w:rsidR="00DE2747" w:rsidRPr="000A031B" w:rsidRDefault="00DE2747" w:rsidP="00DE2747">
            <w:pPr>
              <w:pStyle w:val="FSTableText"/>
              <w:jc w:val="right"/>
              <w:rPr>
                <w:lang w:bidi="ar-SA"/>
              </w:rPr>
            </w:pPr>
            <w:r w:rsidRPr="000A031B">
              <w:rPr>
                <w:lang w:bidi="ar-SA"/>
              </w:rPr>
              <w:t>50</w:t>
            </w:r>
          </w:p>
        </w:tc>
      </w:tr>
      <w:tr w:rsidR="00D27FF0" w:rsidRPr="008F587C" w14:paraId="477086F9" w14:textId="77777777" w:rsidTr="000256D8">
        <w:tc>
          <w:tcPr>
            <w:tcW w:w="1271" w:type="dxa"/>
            <w:vMerge w:val="restart"/>
          </w:tcPr>
          <w:p w14:paraId="7BF58515" w14:textId="77777777" w:rsidR="00D27FF0" w:rsidRPr="000A7E00" w:rsidRDefault="00D27FF0" w:rsidP="00D27FF0">
            <w:pPr>
              <w:pStyle w:val="FSTableText"/>
              <w:rPr>
                <w:lang w:bidi="ar-SA"/>
              </w:rPr>
            </w:pPr>
            <w:r w:rsidRPr="00647D08">
              <w:rPr>
                <w:lang w:bidi="ar-SA"/>
              </w:rPr>
              <w:t>Meat analogues</w:t>
            </w:r>
          </w:p>
        </w:tc>
        <w:tc>
          <w:tcPr>
            <w:tcW w:w="1276" w:type="dxa"/>
            <w:vMerge w:val="restart"/>
          </w:tcPr>
          <w:p w14:paraId="14FF8080" w14:textId="77777777" w:rsidR="00D27FF0" w:rsidRPr="00492BFB" w:rsidRDefault="00D27FF0" w:rsidP="00D27FF0">
            <w:pPr>
              <w:pStyle w:val="FSTableText"/>
              <w:rPr>
                <w:lang w:bidi="ar-SA"/>
              </w:rPr>
            </w:pPr>
            <w:r w:rsidRPr="00492BFB">
              <w:rPr>
                <w:lang w:bidi="ar-SA"/>
              </w:rPr>
              <w:t>Patties, fillets, strips</w:t>
            </w:r>
          </w:p>
        </w:tc>
        <w:tc>
          <w:tcPr>
            <w:tcW w:w="997" w:type="dxa"/>
            <w:vMerge w:val="restart"/>
          </w:tcPr>
          <w:p w14:paraId="28F16A5F" w14:textId="68F4DBC7" w:rsidR="00D27FF0" w:rsidRPr="00492BFB" w:rsidRDefault="00D27FF0" w:rsidP="00D27FF0">
            <w:pPr>
              <w:pStyle w:val="FSTableText"/>
              <w:jc w:val="right"/>
              <w:rPr>
                <w:lang w:bidi="ar-SA"/>
              </w:rPr>
            </w:pPr>
            <w:r w:rsidRPr="00492BFB">
              <w:rPr>
                <w:lang w:bidi="ar-SA"/>
              </w:rPr>
              <w:t>30</w:t>
            </w:r>
            <w:r w:rsidR="00DE2747">
              <w:rPr>
                <w:lang w:bidi="ar-SA"/>
              </w:rPr>
              <w:t xml:space="preserve"> (5)</w:t>
            </w:r>
          </w:p>
        </w:tc>
        <w:tc>
          <w:tcPr>
            <w:tcW w:w="1129" w:type="dxa"/>
          </w:tcPr>
          <w:p w14:paraId="508A7702" w14:textId="77777777" w:rsidR="00D27FF0" w:rsidRPr="00492BFB" w:rsidRDefault="00D27FF0" w:rsidP="00D27FF0">
            <w:pPr>
              <w:pStyle w:val="FSTableText"/>
              <w:rPr>
                <w:lang w:bidi="ar-SA"/>
              </w:rPr>
            </w:pPr>
          </w:p>
        </w:tc>
        <w:tc>
          <w:tcPr>
            <w:tcW w:w="1557" w:type="dxa"/>
          </w:tcPr>
          <w:p w14:paraId="6B045FEA" w14:textId="77777777" w:rsidR="00D27FF0" w:rsidRPr="00492BFB" w:rsidRDefault="00D27FF0" w:rsidP="00D27FF0">
            <w:pPr>
              <w:pStyle w:val="FSTableText"/>
              <w:rPr>
                <w:lang w:bidi="ar-SA"/>
              </w:rPr>
            </w:pPr>
            <w:r w:rsidRPr="00492BFB">
              <w:rPr>
                <w:lang w:bidi="ar-SA"/>
              </w:rPr>
              <w:t>4.3.8.3</w:t>
            </w:r>
          </w:p>
        </w:tc>
        <w:tc>
          <w:tcPr>
            <w:tcW w:w="1409" w:type="dxa"/>
          </w:tcPr>
          <w:p w14:paraId="21E08C32" w14:textId="77777777" w:rsidR="00D27FF0" w:rsidRPr="00492BFB" w:rsidRDefault="00D27FF0" w:rsidP="00D27FF0">
            <w:pPr>
              <w:pStyle w:val="FSTableText"/>
              <w:rPr>
                <w:lang w:bidi="ar-SA"/>
              </w:rPr>
            </w:pPr>
            <w:r w:rsidRPr="00492BFB">
              <w:rPr>
                <w:lang w:bidi="ar-SA"/>
              </w:rPr>
              <w:t>Vegetarian meat alternatives</w:t>
            </w:r>
          </w:p>
        </w:tc>
        <w:tc>
          <w:tcPr>
            <w:tcW w:w="1145" w:type="dxa"/>
          </w:tcPr>
          <w:p w14:paraId="3C38787D" w14:textId="1148F516" w:rsidR="00D27FF0" w:rsidRPr="00492BFB" w:rsidRDefault="00D27FF0" w:rsidP="00D27FF0">
            <w:pPr>
              <w:pStyle w:val="FSTableText"/>
              <w:jc w:val="right"/>
              <w:rPr>
                <w:lang w:bidi="ar-SA"/>
              </w:rPr>
            </w:pPr>
            <w:r w:rsidRPr="00492BFB">
              <w:rPr>
                <w:lang w:bidi="ar-SA"/>
              </w:rPr>
              <w:t>300</w:t>
            </w:r>
          </w:p>
        </w:tc>
        <w:tc>
          <w:tcPr>
            <w:tcW w:w="992" w:type="dxa"/>
          </w:tcPr>
          <w:p w14:paraId="3E6F1B21" w14:textId="54C533FF" w:rsidR="00D27FF0" w:rsidRPr="000A031B" w:rsidRDefault="000A031B" w:rsidP="00DE2747">
            <w:pPr>
              <w:pStyle w:val="FSTableText"/>
              <w:jc w:val="right"/>
              <w:rPr>
                <w:lang w:bidi="ar-SA"/>
              </w:rPr>
            </w:pPr>
            <w:r w:rsidRPr="000A031B">
              <w:rPr>
                <w:lang w:bidi="ar-SA"/>
              </w:rPr>
              <w:t>50</w:t>
            </w:r>
          </w:p>
        </w:tc>
      </w:tr>
      <w:tr w:rsidR="00D27FF0" w:rsidRPr="008F587C" w14:paraId="26092354" w14:textId="77777777" w:rsidTr="000256D8">
        <w:tc>
          <w:tcPr>
            <w:tcW w:w="1271" w:type="dxa"/>
            <w:vMerge/>
          </w:tcPr>
          <w:p w14:paraId="42F6CAF5" w14:textId="77777777" w:rsidR="00D27FF0" w:rsidRPr="00492BFB" w:rsidRDefault="00D27FF0" w:rsidP="00D27FF0">
            <w:pPr>
              <w:pStyle w:val="FSTableText"/>
              <w:rPr>
                <w:lang w:bidi="ar-SA"/>
              </w:rPr>
            </w:pPr>
          </w:p>
        </w:tc>
        <w:tc>
          <w:tcPr>
            <w:tcW w:w="1276" w:type="dxa"/>
            <w:vMerge/>
          </w:tcPr>
          <w:p w14:paraId="10D5044E" w14:textId="77777777" w:rsidR="00D27FF0" w:rsidRPr="00492BFB" w:rsidRDefault="00D27FF0" w:rsidP="00D27FF0">
            <w:pPr>
              <w:pStyle w:val="FSTableText"/>
              <w:rPr>
                <w:lang w:bidi="ar-SA"/>
              </w:rPr>
            </w:pPr>
          </w:p>
        </w:tc>
        <w:tc>
          <w:tcPr>
            <w:tcW w:w="997" w:type="dxa"/>
            <w:vMerge/>
          </w:tcPr>
          <w:p w14:paraId="5712DC02" w14:textId="77777777" w:rsidR="00D27FF0" w:rsidRPr="00492BFB" w:rsidRDefault="00D27FF0" w:rsidP="00D27FF0">
            <w:pPr>
              <w:pStyle w:val="FSTableText"/>
              <w:jc w:val="right"/>
              <w:rPr>
                <w:lang w:bidi="ar-SA"/>
              </w:rPr>
            </w:pPr>
          </w:p>
        </w:tc>
        <w:tc>
          <w:tcPr>
            <w:tcW w:w="1129" w:type="dxa"/>
          </w:tcPr>
          <w:p w14:paraId="098F10FF" w14:textId="77777777" w:rsidR="00D27FF0" w:rsidRDefault="00D27FF0" w:rsidP="00D27FF0">
            <w:pPr>
              <w:pStyle w:val="FSTableText"/>
              <w:rPr>
                <w:lang w:bidi="ar-SA"/>
              </w:rPr>
            </w:pPr>
          </w:p>
        </w:tc>
        <w:tc>
          <w:tcPr>
            <w:tcW w:w="1557" w:type="dxa"/>
          </w:tcPr>
          <w:p w14:paraId="508BB910" w14:textId="77777777" w:rsidR="00D27FF0" w:rsidRPr="00492BFB" w:rsidRDefault="00D27FF0" w:rsidP="00D27FF0">
            <w:pPr>
              <w:pStyle w:val="FSTableText"/>
              <w:rPr>
                <w:lang w:bidi="ar-SA"/>
              </w:rPr>
            </w:pPr>
            <w:r>
              <w:rPr>
                <w:lang w:bidi="ar-SA"/>
              </w:rPr>
              <w:t>12.6</w:t>
            </w:r>
          </w:p>
        </w:tc>
        <w:tc>
          <w:tcPr>
            <w:tcW w:w="1409" w:type="dxa"/>
          </w:tcPr>
          <w:p w14:paraId="1B477E05" w14:textId="77777777" w:rsidR="00D27FF0" w:rsidRPr="00492BFB" w:rsidRDefault="00D27FF0" w:rsidP="00D27FF0">
            <w:pPr>
              <w:pStyle w:val="FSTableText"/>
              <w:rPr>
                <w:lang w:bidi="ar-SA"/>
              </w:rPr>
            </w:pPr>
            <w:r>
              <w:rPr>
                <w:lang w:bidi="ar-SA"/>
              </w:rPr>
              <w:t>Vegetable protein products</w:t>
            </w:r>
          </w:p>
        </w:tc>
        <w:tc>
          <w:tcPr>
            <w:tcW w:w="1145" w:type="dxa"/>
          </w:tcPr>
          <w:p w14:paraId="41BA831B" w14:textId="0B8CDAC7" w:rsidR="00D27FF0" w:rsidRPr="00492BFB" w:rsidRDefault="00D27FF0" w:rsidP="00D27FF0">
            <w:pPr>
              <w:pStyle w:val="FSTableText"/>
              <w:jc w:val="right"/>
              <w:rPr>
                <w:lang w:bidi="ar-SA"/>
              </w:rPr>
            </w:pPr>
            <w:r w:rsidRPr="00492BFB">
              <w:rPr>
                <w:lang w:bidi="ar-SA"/>
              </w:rPr>
              <w:t>300</w:t>
            </w:r>
          </w:p>
        </w:tc>
        <w:tc>
          <w:tcPr>
            <w:tcW w:w="992" w:type="dxa"/>
          </w:tcPr>
          <w:p w14:paraId="20BA4C2D" w14:textId="4B58515C" w:rsidR="00D27FF0" w:rsidRPr="000A031B" w:rsidRDefault="000A031B" w:rsidP="00DE2747">
            <w:pPr>
              <w:pStyle w:val="FSTableText"/>
              <w:jc w:val="right"/>
              <w:rPr>
                <w:lang w:bidi="ar-SA"/>
              </w:rPr>
            </w:pPr>
            <w:r w:rsidRPr="000A031B">
              <w:rPr>
                <w:lang w:bidi="ar-SA"/>
              </w:rPr>
              <w:t>50</w:t>
            </w:r>
          </w:p>
        </w:tc>
      </w:tr>
      <w:tr w:rsidR="00D27FF0" w:rsidRPr="00D949AA" w14:paraId="596E2F54" w14:textId="77777777" w:rsidTr="000256D8">
        <w:tc>
          <w:tcPr>
            <w:tcW w:w="1271" w:type="dxa"/>
            <w:vMerge w:val="restart"/>
          </w:tcPr>
          <w:p w14:paraId="7E2D9B11" w14:textId="77777777" w:rsidR="00D27FF0" w:rsidRPr="00D949AA" w:rsidRDefault="00D27FF0" w:rsidP="00D27FF0">
            <w:pPr>
              <w:pStyle w:val="FSTableText"/>
              <w:rPr>
                <w:lang w:bidi="ar-SA"/>
              </w:rPr>
            </w:pPr>
            <w:r w:rsidRPr="00D949AA">
              <w:rPr>
                <w:lang w:bidi="ar-SA"/>
              </w:rPr>
              <w:t xml:space="preserve">Protein based products </w:t>
            </w:r>
          </w:p>
          <w:p w14:paraId="36A2D888" w14:textId="77777777" w:rsidR="00D27FF0" w:rsidRPr="00D949AA" w:rsidRDefault="00D27FF0" w:rsidP="00D27FF0">
            <w:pPr>
              <w:pStyle w:val="FSTableText"/>
              <w:rPr>
                <w:lang w:bidi="ar-SA"/>
              </w:rPr>
            </w:pPr>
          </w:p>
        </w:tc>
        <w:tc>
          <w:tcPr>
            <w:tcW w:w="1276" w:type="dxa"/>
            <w:vMerge w:val="restart"/>
          </w:tcPr>
          <w:p w14:paraId="2059AEE7" w14:textId="18411C5A" w:rsidR="00D27FF0" w:rsidRPr="00D949AA" w:rsidRDefault="00D27FF0" w:rsidP="00DE2747">
            <w:pPr>
              <w:pStyle w:val="FSTableText"/>
              <w:rPr>
                <w:lang w:bidi="ar-SA"/>
              </w:rPr>
            </w:pPr>
            <w:r w:rsidRPr="00D949AA">
              <w:rPr>
                <w:lang w:bidi="ar-SA"/>
              </w:rPr>
              <w:t>Bars, energy bars, pasta, powder, beverages</w:t>
            </w:r>
          </w:p>
        </w:tc>
        <w:tc>
          <w:tcPr>
            <w:tcW w:w="997" w:type="dxa"/>
            <w:vMerge w:val="restart"/>
          </w:tcPr>
          <w:p w14:paraId="2B979110" w14:textId="33CBE47D" w:rsidR="00D27FF0" w:rsidRPr="00D949AA" w:rsidRDefault="00D27FF0" w:rsidP="00D27FF0">
            <w:pPr>
              <w:pStyle w:val="FSTableText"/>
              <w:jc w:val="right"/>
              <w:rPr>
                <w:lang w:bidi="ar-SA"/>
              </w:rPr>
            </w:pPr>
            <w:r w:rsidRPr="00D949AA">
              <w:rPr>
                <w:lang w:bidi="ar-SA"/>
              </w:rPr>
              <w:t>30</w:t>
            </w:r>
            <w:r w:rsidR="00DE2747">
              <w:rPr>
                <w:lang w:bidi="ar-SA"/>
              </w:rPr>
              <w:t xml:space="preserve"> (10)</w:t>
            </w:r>
          </w:p>
          <w:p w14:paraId="70A4CEAD" w14:textId="77777777" w:rsidR="00D27FF0" w:rsidRPr="00D949AA" w:rsidRDefault="00D27FF0" w:rsidP="00D27FF0">
            <w:pPr>
              <w:pStyle w:val="FSTableText"/>
              <w:jc w:val="right"/>
              <w:rPr>
                <w:lang w:bidi="ar-SA"/>
              </w:rPr>
            </w:pPr>
          </w:p>
        </w:tc>
        <w:tc>
          <w:tcPr>
            <w:tcW w:w="1129" w:type="dxa"/>
          </w:tcPr>
          <w:p w14:paraId="7D99C811" w14:textId="77777777" w:rsidR="00D27FF0" w:rsidRPr="00D949AA" w:rsidRDefault="00D27FF0" w:rsidP="00D27FF0">
            <w:pPr>
              <w:pStyle w:val="FSTableText"/>
              <w:rPr>
                <w:lang w:bidi="ar-SA"/>
              </w:rPr>
            </w:pPr>
            <w:r w:rsidRPr="00D949AA">
              <w:rPr>
                <w:lang w:bidi="ar-SA"/>
              </w:rPr>
              <w:t>13.3</w:t>
            </w:r>
          </w:p>
        </w:tc>
        <w:tc>
          <w:tcPr>
            <w:tcW w:w="1557" w:type="dxa"/>
          </w:tcPr>
          <w:p w14:paraId="0F9D32E2" w14:textId="77777777" w:rsidR="00D27FF0" w:rsidRPr="00D949AA" w:rsidRDefault="00D27FF0" w:rsidP="00D27FF0">
            <w:pPr>
              <w:pStyle w:val="FSTableText"/>
              <w:rPr>
                <w:lang w:bidi="ar-SA"/>
              </w:rPr>
            </w:pPr>
            <w:r w:rsidRPr="00D949AA">
              <w:rPr>
                <w:lang w:bidi="ar-SA"/>
              </w:rPr>
              <w:t>13.3</w:t>
            </w:r>
          </w:p>
        </w:tc>
        <w:tc>
          <w:tcPr>
            <w:tcW w:w="1409" w:type="dxa"/>
          </w:tcPr>
          <w:p w14:paraId="1CB5C193" w14:textId="77777777" w:rsidR="00D27FF0" w:rsidRPr="000A7E00" w:rsidRDefault="00D27FF0" w:rsidP="00D27FF0">
            <w:pPr>
              <w:pStyle w:val="FSTableText"/>
              <w:rPr>
                <w:lang w:bidi="ar-SA"/>
              </w:rPr>
            </w:pPr>
            <w:r w:rsidRPr="000A7E00">
              <w:rPr>
                <w:lang w:bidi="ar-SA"/>
              </w:rPr>
              <w:t>Formula meal replacements &amp; formulated supp foods</w:t>
            </w:r>
          </w:p>
        </w:tc>
        <w:tc>
          <w:tcPr>
            <w:tcW w:w="1145" w:type="dxa"/>
          </w:tcPr>
          <w:p w14:paraId="68672702" w14:textId="7BBECAF0" w:rsidR="00D27FF0" w:rsidRPr="00492BFB" w:rsidRDefault="00D27FF0" w:rsidP="00D27FF0">
            <w:pPr>
              <w:pStyle w:val="FSTableText"/>
              <w:jc w:val="right"/>
              <w:rPr>
                <w:lang w:bidi="ar-SA"/>
              </w:rPr>
            </w:pPr>
            <w:r w:rsidRPr="00492BFB">
              <w:rPr>
                <w:lang w:bidi="ar-SA"/>
              </w:rPr>
              <w:t>300</w:t>
            </w:r>
          </w:p>
        </w:tc>
        <w:tc>
          <w:tcPr>
            <w:tcW w:w="992" w:type="dxa"/>
          </w:tcPr>
          <w:p w14:paraId="03CFE418" w14:textId="5159B1DA" w:rsidR="00D27FF0" w:rsidRPr="000A031B" w:rsidRDefault="000A031B" w:rsidP="00DE2747">
            <w:pPr>
              <w:pStyle w:val="FSTableText"/>
              <w:jc w:val="right"/>
              <w:rPr>
                <w:lang w:bidi="ar-SA"/>
              </w:rPr>
            </w:pPr>
            <w:r w:rsidRPr="000A031B">
              <w:rPr>
                <w:lang w:bidi="ar-SA"/>
              </w:rPr>
              <w:t>100</w:t>
            </w:r>
          </w:p>
        </w:tc>
      </w:tr>
      <w:tr w:rsidR="00D27FF0" w:rsidRPr="00D949AA" w14:paraId="46D333D4" w14:textId="77777777" w:rsidTr="000256D8">
        <w:tc>
          <w:tcPr>
            <w:tcW w:w="1271" w:type="dxa"/>
            <w:vMerge/>
          </w:tcPr>
          <w:p w14:paraId="731A95B6" w14:textId="77777777" w:rsidR="00D27FF0" w:rsidRPr="00D949AA" w:rsidRDefault="00D27FF0" w:rsidP="00D27FF0">
            <w:pPr>
              <w:pStyle w:val="FSTableText"/>
              <w:rPr>
                <w:lang w:bidi="ar-SA"/>
              </w:rPr>
            </w:pPr>
          </w:p>
        </w:tc>
        <w:tc>
          <w:tcPr>
            <w:tcW w:w="1276" w:type="dxa"/>
            <w:vMerge/>
          </w:tcPr>
          <w:p w14:paraId="5DEE4C0B" w14:textId="77777777" w:rsidR="00D27FF0" w:rsidRPr="00D949AA" w:rsidRDefault="00D27FF0" w:rsidP="00D27FF0">
            <w:pPr>
              <w:pStyle w:val="FSTableText"/>
              <w:rPr>
                <w:lang w:bidi="ar-SA"/>
              </w:rPr>
            </w:pPr>
          </w:p>
        </w:tc>
        <w:tc>
          <w:tcPr>
            <w:tcW w:w="997" w:type="dxa"/>
            <w:vMerge/>
          </w:tcPr>
          <w:p w14:paraId="19E8359D" w14:textId="77777777" w:rsidR="00D27FF0" w:rsidRPr="00D949AA" w:rsidRDefault="00D27FF0" w:rsidP="00D27FF0">
            <w:pPr>
              <w:pStyle w:val="FSTableText"/>
              <w:rPr>
                <w:lang w:bidi="ar-SA"/>
              </w:rPr>
            </w:pPr>
          </w:p>
        </w:tc>
        <w:tc>
          <w:tcPr>
            <w:tcW w:w="1129" w:type="dxa"/>
          </w:tcPr>
          <w:p w14:paraId="7C5D85EC" w14:textId="77777777" w:rsidR="00D27FF0" w:rsidRPr="00D949AA" w:rsidRDefault="00D27FF0" w:rsidP="00D27FF0">
            <w:pPr>
              <w:pStyle w:val="FSTableText"/>
              <w:rPr>
                <w:lang w:bidi="ar-SA"/>
              </w:rPr>
            </w:pPr>
            <w:r w:rsidRPr="00D949AA">
              <w:rPr>
                <w:lang w:bidi="ar-SA"/>
              </w:rPr>
              <w:t>13.4</w:t>
            </w:r>
          </w:p>
        </w:tc>
        <w:tc>
          <w:tcPr>
            <w:tcW w:w="1557" w:type="dxa"/>
          </w:tcPr>
          <w:p w14:paraId="2AE7B049" w14:textId="77777777" w:rsidR="00D27FF0" w:rsidRPr="00D949AA" w:rsidRDefault="00D27FF0" w:rsidP="00D27FF0">
            <w:pPr>
              <w:pStyle w:val="FSTableText"/>
              <w:rPr>
                <w:lang w:bidi="ar-SA"/>
              </w:rPr>
            </w:pPr>
            <w:r w:rsidRPr="00D949AA">
              <w:rPr>
                <w:lang w:bidi="ar-SA"/>
              </w:rPr>
              <w:t>13.4</w:t>
            </w:r>
          </w:p>
        </w:tc>
        <w:tc>
          <w:tcPr>
            <w:tcW w:w="1409" w:type="dxa"/>
          </w:tcPr>
          <w:p w14:paraId="1562BC9C" w14:textId="77777777" w:rsidR="00D27FF0" w:rsidRPr="00D949AA" w:rsidRDefault="00D27FF0" w:rsidP="00D27FF0">
            <w:pPr>
              <w:pStyle w:val="FSTableText"/>
              <w:rPr>
                <w:lang w:bidi="ar-SA"/>
              </w:rPr>
            </w:pPr>
            <w:r w:rsidRPr="00D949AA">
              <w:rPr>
                <w:lang w:bidi="ar-SA"/>
              </w:rPr>
              <w:t>Formulated supplementary sports foods</w:t>
            </w:r>
          </w:p>
        </w:tc>
        <w:tc>
          <w:tcPr>
            <w:tcW w:w="1145" w:type="dxa"/>
          </w:tcPr>
          <w:p w14:paraId="68F98C13" w14:textId="77A6E3DE" w:rsidR="00D27FF0" w:rsidRPr="00BE5DA4" w:rsidRDefault="00D27FF0" w:rsidP="00D27FF0">
            <w:pPr>
              <w:pStyle w:val="FSTableText"/>
              <w:jc w:val="right"/>
              <w:rPr>
                <w:lang w:bidi="ar-SA"/>
              </w:rPr>
            </w:pPr>
            <w:r w:rsidRPr="00BE5DA4">
              <w:rPr>
                <w:lang w:bidi="ar-SA"/>
              </w:rPr>
              <w:t>300</w:t>
            </w:r>
          </w:p>
        </w:tc>
        <w:tc>
          <w:tcPr>
            <w:tcW w:w="992" w:type="dxa"/>
          </w:tcPr>
          <w:p w14:paraId="07EA6938" w14:textId="7F521969" w:rsidR="00D27FF0" w:rsidRPr="003D67C8" w:rsidRDefault="003D67C8" w:rsidP="00DE2747">
            <w:pPr>
              <w:pStyle w:val="FSTableText"/>
              <w:jc w:val="right"/>
              <w:rPr>
                <w:lang w:bidi="ar-SA"/>
              </w:rPr>
            </w:pPr>
            <w:r w:rsidRPr="003D67C8">
              <w:rPr>
                <w:lang w:bidi="ar-SA"/>
              </w:rPr>
              <w:t>100</w:t>
            </w:r>
          </w:p>
        </w:tc>
      </w:tr>
      <w:tr w:rsidR="00D27FF0" w:rsidRPr="00D949AA" w14:paraId="5BAB7CC1" w14:textId="77777777" w:rsidTr="000256D8">
        <w:tc>
          <w:tcPr>
            <w:tcW w:w="1271" w:type="dxa"/>
            <w:vMerge/>
          </w:tcPr>
          <w:p w14:paraId="2F78257B" w14:textId="77777777" w:rsidR="00D27FF0" w:rsidRPr="00D949AA" w:rsidRDefault="00D27FF0" w:rsidP="00D27FF0">
            <w:pPr>
              <w:pStyle w:val="FSTableText"/>
              <w:rPr>
                <w:lang w:bidi="ar-SA"/>
              </w:rPr>
            </w:pPr>
          </w:p>
        </w:tc>
        <w:tc>
          <w:tcPr>
            <w:tcW w:w="1276" w:type="dxa"/>
            <w:vMerge/>
          </w:tcPr>
          <w:p w14:paraId="2F42B4E1" w14:textId="77777777" w:rsidR="00D27FF0" w:rsidRPr="00D949AA" w:rsidRDefault="00D27FF0" w:rsidP="00D27FF0">
            <w:pPr>
              <w:pStyle w:val="FSTableText"/>
              <w:rPr>
                <w:lang w:bidi="ar-SA"/>
              </w:rPr>
            </w:pPr>
          </w:p>
        </w:tc>
        <w:tc>
          <w:tcPr>
            <w:tcW w:w="997" w:type="dxa"/>
            <w:vMerge/>
          </w:tcPr>
          <w:p w14:paraId="2D21E35F" w14:textId="77777777" w:rsidR="00D27FF0" w:rsidRPr="00D949AA" w:rsidRDefault="00D27FF0" w:rsidP="00D27FF0">
            <w:pPr>
              <w:pStyle w:val="FSTableText"/>
              <w:rPr>
                <w:lang w:bidi="ar-SA"/>
              </w:rPr>
            </w:pPr>
          </w:p>
        </w:tc>
        <w:tc>
          <w:tcPr>
            <w:tcW w:w="1129" w:type="dxa"/>
          </w:tcPr>
          <w:p w14:paraId="081C7FDE" w14:textId="77777777" w:rsidR="00D27FF0" w:rsidRPr="00D949AA" w:rsidRDefault="00D27FF0" w:rsidP="00D27FF0">
            <w:pPr>
              <w:pStyle w:val="FSTableText"/>
              <w:rPr>
                <w:lang w:bidi="ar-SA"/>
              </w:rPr>
            </w:pPr>
            <w:r w:rsidRPr="00D949AA">
              <w:rPr>
                <w:lang w:bidi="ar-SA"/>
              </w:rPr>
              <w:t>20.1</w:t>
            </w:r>
          </w:p>
        </w:tc>
        <w:tc>
          <w:tcPr>
            <w:tcW w:w="1557" w:type="dxa"/>
          </w:tcPr>
          <w:p w14:paraId="48621EA5" w14:textId="77777777" w:rsidR="00D27FF0" w:rsidRPr="00D949AA" w:rsidRDefault="00D27FF0" w:rsidP="00D27FF0">
            <w:pPr>
              <w:pStyle w:val="FSTableText"/>
              <w:rPr>
                <w:lang w:bidi="ar-SA"/>
              </w:rPr>
            </w:pPr>
            <w:r w:rsidRPr="00D949AA">
              <w:rPr>
                <w:lang w:bidi="ar-SA"/>
              </w:rPr>
              <w:t>20.1.3.7</w:t>
            </w:r>
          </w:p>
        </w:tc>
        <w:tc>
          <w:tcPr>
            <w:tcW w:w="1409" w:type="dxa"/>
          </w:tcPr>
          <w:p w14:paraId="773E8637" w14:textId="77777777" w:rsidR="00D27FF0" w:rsidRPr="000A7E00" w:rsidRDefault="00D27FF0" w:rsidP="00D27FF0">
            <w:pPr>
              <w:pStyle w:val="FSTableText"/>
              <w:rPr>
                <w:lang w:bidi="ar-SA"/>
              </w:rPr>
            </w:pPr>
            <w:r w:rsidRPr="000A7E00">
              <w:rPr>
                <w:lang w:bidi="ar-SA"/>
              </w:rPr>
              <w:t>Beverages, non-alcoholic, meal replacement, oral supplement or protein drink based</w:t>
            </w:r>
          </w:p>
        </w:tc>
        <w:tc>
          <w:tcPr>
            <w:tcW w:w="1145" w:type="dxa"/>
          </w:tcPr>
          <w:p w14:paraId="180E5DEC" w14:textId="5AFEAB2F" w:rsidR="00D27FF0" w:rsidRPr="00BE5DA4" w:rsidRDefault="00D27FF0" w:rsidP="00D27FF0">
            <w:pPr>
              <w:pStyle w:val="FSTableText"/>
              <w:jc w:val="right"/>
              <w:rPr>
                <w:lang w:bidi="ar-SA"/>
              </w:rPr>
            </w:pPr>
            <w:r w:rsidRPr="00BE5DA4">
              <w:rPr>
                <w:lang w:bidi="ar-SA"/>
              </w:rPr>
              <w:t>300</w:t>
            </w:r>
          </w:p>
        </w:tc>
        <w:tc>
          <w:tcPr>
            <w:tcW w:w="992" w:type="dxa"/>
          </w:tcPr>
          <w:p w14:paraId="34AFE9DC" w14:textId="14B46D2D" w:rsidR="00D27FF0" w:rsidRPr="003D67C8" w:rsidRDefault="003D67C8" w:rsidP="00DE2747">
            <w:pPr>
              <w:pStyle w:val="FSTableText"/>
              <w:jc w:val="right"/>
              <w:rPr>
                <w:lang w:bidi="ar-SA"/>
              </w:rPr>
            </w:pPr>
            <w:r w:rsidRPr="003D67C8">
              <w:rPr>
                <w:lang w:bidi="ar-SA"/>
              </w:rPr>
              <w:t>100</w:t>
            </w:r>
          </w:p>
        </w:tc>
      </w:tr>
    </w:tbl>
    <w:p w14:paraId="3CB8EC37" w14:textId="74F53F96" w:rsidR="006E141E" w:rsidRDefault="006E141E" w:rsidP="004A26DB">
      <w:pPr>
        <w:rPr>
          <w:lang w:bidi="ar-SA"/>
        </w:rPr>
      </w:pPr>
    </w:p>
    <w:p w14:paraId="28BC93C9" w14:textId="4C126B60" w:rsidR="006E141E" w:rsidRPr="001F473A" w:rsidRDefault="006E141E" w:rsidP="001F473A">
      <w:pPr>
        <w:rPr>
          <w:b/>
        </w:rPr>
      </w:pPr>
      <w:bookmarkStart w:id="1770" w:name="_Toc38549524"/>
      <w:bookmarkStart w:id="1771" w:name="_Toc38634187"/>
      <w:bookmarkStart w:id="1772" w:name="_Toc39571066"/>
      <w:bookmarkStart w:id="1773" w:name="_Toc39579322"/>
      <w:bookmarkStart w:id="1774" w:name="_Toc39579385"/>
      <w:bookmarkStart w:id="1775" w:name="_Toc39587143"/>
      <w:bookmarkStart w:id="1776" w:name="_Toc39582535"/>
      <w:bookmarkStart w:id="1777" w:name="_Toc40264951"/>
      <w:bookmarkStart w:id="1778" w:name="_Toc40266427"/>
      <w:bookmarkStart w:id="1779" w:name="_Toc40279760"/>
      <w:bookmarkStart w:id="1780" w:name="_Toc40282062"/>
      <w:bookmarkStart w:id="1781" w:name="_Toc40282224"/>
      <w:bookmarkStart w:id="1782" w:name="_Toc40360554"/>
      <w:bookmarkStart w:id="1783" w:name="_Toc40353597"/>
      <w:bookmarkStart w:id="1784" w:name="_Toc40366944"/>
      <w:bookmarkStart w:id="1785" w:name="_Toc40368276"/>
      <w:bookmarkStart w:id="1786" w:name="_Toc40382882"/>
      <w:bookmarkStart w:id="1787" w:name="_Toc40431081"/>
      <w:bookmarkStart w:id="1788" w:name="_Toc40433019"/>
      <w:bookmarkStart w:id="1789" w:name="_Toc40447704"/>
      <w:bookmarkStart w:id="1790" w:name="_Toc40441233"/>
      <w:bookmarkStart w:id="1791" w:name="_Toc40448569"/>
      <w:bookmarkStart w:id="1792" w:name="_Toc40449997"/>
      <w:r w:rsidRPr="001F473A">
        <w:rPr>
          <w:b/>
        </w:rPr>
        <w:t>Erucic acid and glucosinolates</w:t>
      </w:r>
      <w:bookmarkEnd w:id="1770"/>
      <w:r w:rsidR="007451F6" w:rsidRPr="001F473A">
        <w:rPr>
          <w:b/>
        </w:rPr>
        <w:t xml:space="preserve"> concentrations</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p>
    <w:p w14:paraId="79AE2CA5" w14:textId="77777777" w:rsidR="00AB6232" w:rsidRPr="00AB6232" w:rsidRDefault="00AB6232" w:rsidP="00AB6232">
      <w:pPr>
        <w:rPr>
          <w:b/>
        </w:rPr>
      </w:pPr>
    </w:p>
    <w:p w14:paraId="613CBC82" w14:textId="361042ED" w:rsidR="006E141E" w:rsidRPr="0002678B" w:rsidRDefault="006E141E" w:rsidP="006E141E">
      <w:pPr>
        <w:rPr>
          <w:rFonts w:cs="Arial"/>
          <w:szCs w:val="22"/>
        </w:rPr>
      </w:pPr>
      <w:r w:rsidRPr="0002678B">
        <w:rPr>
          <w:rFonts w:cs="Arial"/>
          <w:szCs w:val="22"/>
        </w:rPr>
        <w:t xml:space="preserve">A literature search was conducted using google scholar for articles published on glucosinolates and erucic acid concentration data in </w:t>
      </w:r>
      <w:r w:rsidR="00D15586" w:rsidRPr="00DA0240">
        <w:rPr>
          <w:i/>
          <w:lang w:bidi="ar-SA"/>
        </w:rPr>
        <w:t>Brassica</w:t>
      </w:r>
      <w:r w:rsidR="00D15586" w:rsidRPr="0002678B">
        <w:rPr>
          <w:rFonts w:cs="Arial"/>
          <w:szCs w:val="22"/>
        </w:rPr>
        <w:t xml:space="preserve"> </w:t>
      </w:r>
      <w:r w:rsidRPr="0002678B">
        <w:rPr>
          <w:rFonts w:cs="Arial"/>
          <w:szCs w:val="22"/>
        </w:rPr>
        <w:t>vegetables. The search terms included: glucosinolates concentration, erucic acid concentr</w:t>
      </w:r>
      <w:r w:rsidR="00F53ED2">
        <w:rPr>
          <w:rFonts w:cs="Arial"/>
          <w:szCs w:val="22"/>
        </w:rPr>
        <w:t xml:space="preserve">ation and </w:t>
      </w:r>
      <w:r w:rsidR="00D15586" w:rsidRPr="00DA0240">
        <w:rPr>
          <w:i/>
          <w:lang w:bidi="ar-SA"/>
        </w:rPr>
        <w:t>Brassica</w:t>
      </w:r>
      <w:r w:rsidR="00D15586">
        <w:rPr>
          <w:rFonts w:cs="Arial"/>
          <w:szCs w:val="22"/>
        </w:rPr>
        <w:t xml:space="preserve"> </w:t>
      </w:r>
      <w:r w:rsidR="00F53ED2">
        <w:rPr>
          <w:rFonts w:cs="Arial"/>
          <w:szCs w:val="22"/>
        </w:rPr>
        <w:t xml:space="preserve">vegetables. </w:t>
      </w:r>
      <w:r w:rsidRPr="0002678B">
        <w:rPr>
          <w:rFonts w:cs="Arial"/>
          <w:szCs w:val="22"/>
        </w:rPr>
        <w:t xml:space="preserve">Papers that included quantitative amounts of glucosinolates and erucic acid were selected for further evaluation while the ones that reported a qualitative analysis only were excluded. Papers that only measured total glucosinolates were </w:t>
      </w:r>
      <w:r w:rsidR="0002678B" w:rsidRPr="0002678B">
        <w:rPr>
          <w:rFonts w:cs="Arial"/>
          <w:szCs w:val="22"/>
        </w:rPr>
        <w:t xml:space="preserve">included. </w:t>
      </w:r>
      <w:r w:rsidRPr="0002678B">
        <w:rPr>
          <w:rFonts w:cs="Arial"/>
          <w:szCs w:val="22"/>
        </w:rPr>
        <w:t xml:space="preserve">FSANZ was also aware of the EFSA report on </w:t>
      </w:r>
      <w:r w:rsidR="00F53ED2">
        <w:rPr>
          <w:rFonts w:cs="Arial"/>
          <w:szCs w:val="22"/>
        </w:rPr>
        <w:t>e</w:t>
      </w:r>
      <w:r w:rsidRPr="0002678B">
        <w:rPr>
          <w:rFonts w:cs="Arial"/>
          <w:szCs w:val="22"/>
        </w:rPr>
        <w:t>rucic acid in food and feed (</w:t>
      </w:r>
      <w:r w:rsidR="00A05E7C">
        <w:rPr>
          <w:rFonts w:cs="Arial"/>
          <w:szCs w:val="22"/>
        </w:rPr>
        <w:t>EFSA 2016</w:t>
      </w:r>
      <w:r w:rsidRPr="0002678B">
        <w:rPr>
          <w:rFonts w:cs="Arial"/>
          <w:szCs w:val="22"/>
        </w:rPr>
        <w:t>) and this was also reviewed for relevant references.</w:t>
      </w:r>
    </w:p>
    <w:p w14:paraId="72189FB7" w14:textId="77777777" w:rsidR="006E141E" w:rsidRPr="00047F90" w:rsidRDefault="006E141E" w:rsidP="006E141E"/>
    <w:p w14:paraId="35B41D2D" w14:textId="2AE67400" w:rsidR="006E141E" w:rsidRPr="00047F90" w:rsidRDefault="006E141E" w:rsidP="006E141E">
      <w:r w:rsidRPr="00047F90">
        <w:t xml:space="preserve">The other criteria by which the studies were assessed were the number of samples and the stage of maturity of the commodity. The plant tissues whose stage of maturity were not stated were not included in the </w:t>
      </w:r>
      <w:r w:rsidR="00F53ED2">
        <w:t>assessment</w:t>
      </w:r>
      <w:r w:rsidRPr="00047F90">
        <w:t xml:space="preserve">. The states of maturity provided ranged from leaves, florets to sprouts. Only the florets was considered as this is the form that is most commonly consumed by general population. In this </w:t>
      </w:r>
      <w:r w:rsidR="00F53ED2">
        <w:t>assessment</w:t>
      </w:r>
      <w:r w:rsidRPr="00047F90">
        <w:t xml:space="preserve">, the </w:t>
      </w:r>
      <w:r w:rsidR="00D15586" w:rsidRPr="00DA0240">
        <w:rPr>
          <w:i/>
          <w:lang w:bidi="ar-SA"/>
        </w:rPr>
        <w:t>Brassica</w:t>
      </w:r>
      <w:r w:rsidR="00D15586" w:rsidRPr="00047F90">
        <w:t xml:space="preserve"> </w:t>
      </w:r>
      <w:r w:rsidRPr="00047F90">
        <w:t>species designation of the vegetable is as reported in the original articles, while some were mapped to</w:t>
      </w:r>
      <w:r w:rsidR="00F53ED2">
        <w:t xml:space="preserve"> a</w:t>
      </w:r>
      <w:r w:rsidRPr="00047F90">
        <w:t xml:space="preserve"> similar food category.</w:t>
      </w:r>
    </w:p>
    <w:p w14:paraId="59D01E30" w14:textId="77777777" w:rsidR="006E141E" w:rsidRPr="00047F90" w:rsidRDefault="006E141E" w:rsidP="006E141E"/>
    <w:p w14:paraId="20230549" w14:textId="590E3620" w:rsidR="006E141E" w:rsidRPr="00047F90" w:rsidRDefault="006E141E" w:rsidP="006E141E">
      <w:r w:rsidRPr="00047F90">
        <w:t xml:space="preserve">Twenty studies that reported glucosinolates concentration of </w:t>
      </w:r>
      <w:r w:rsidR="00D15586" w:rsidRPr="00DA0240">
        <w:rPr>
          <w:i/>
          <w:lang w:bidi="ar-SA"/>
        </w:rPr>
        <w:t>Brassica</w:t>
      </w:r>
      <w:r w:rsidR="00D15586" w:rsidRPr="00047F90">
        <w:t xml:space="preserve"> </w:t>
      </w:r>
      <w:r w:rsidRPr="00047F90">
        <w:t xml:space="preserve">were </w:t>
      </w:r>
      <w:r w:rsidR="00F53ED2">
        <w:t>identified</w:t>
      </w:r>
      <w:r w:rsidRPr="00047F90">
        <w:t>. The foods for which concentration data were reported for glucosinolates included cabbage, broccoli, Chinese cabbage, cauliflower, Brussels sprouts and kohlrabi. All data expressed as m</w:t>
      </w:r>
      <w:r w:rsidR="00A05E7C">
        <w:t xml:space="preserve">g/kg fresh weight were included, </w:t>
      </w:r>
      <w:r w:rsidRPr="00047F90">
        <w:t>while studies with data expressed as µmol</w:t>
      </w:r>
      <w:r>
        <w:t xml:space="preserve"> </w:t>
      </w:r>
      <w:r w:rsidR="00A05E7C">
        <w:t xml:space="preserve">/100 g </w:t>
      </w:r>
      <w:r w:rsidRPr="00047F90">
        <w:t xml:space="preserve">were excluded because they failed to report the molecular weight therefore conversion to the same units was not possible for comparison across all studies. </w:t>
      </w:r>
      <w:r w:rsidR="00A05E7C">
        <w:t>Studies with no units provided were excluded.</w:t>
      </w:r>
      <w:r w:rsidR="00A05E7C" w:rsidRPr="00047F90">
        <w:t xml:space="preserve"> </w:t>
      </w:r>
      <w:r w:rsidRPr="00047F90">
        <w:t xml:space="preserve">Moreover, due to wide variations in the values reported for the same vegetable by different studies, the data were further evaluated based on number of samples and reliability of the data. One paper was eventually selected </w:t>
      </w:r>
      <w:r w:rsidR="00F53ED2">
        <w:t xml:space="preserve">that would be used to be representative of the concentration for </w:t>
      </w:r>
      <w:r w:rsidR="00D15586" w:rsidRPr="00DA0240">
        <w:rPr>
          <w:i/>
          <w:lang w:bidi="ar-SA"/>
        </w:rPr>
        <w:t>Brassica</w:t>
      </w:r>
      <w:r w:rsidR="00D15586">
        <w:rPr>
          <w:i/>
          <w:lang w:bidi="ar-SA"/>
        </w:rPr>
        <w:t>s</w:t>
      </w:r>
      <w:r w:rsidR="00F53ED2">
        <w:t xml:space="preserve">, from </w:t>
      </w:r>
      <w:r w:rsidR="00A05E7C">
        <w:t>which</w:t>
      </w:r>
      <w:r w:rsidRPr="00047F90">
        <w:t xml:space="preserve"> the highest concentration</w:t>
      </w:r>
      <w:r w:rsidR="00F53ED2">
        <w:t xml:space="preserve"> from the range of reported values was selected for the dietary exposure </w:t>
      </w:r>
      <w:r w:rsidR="006B7AAC">
        <w:t>assessment</w:t>
      </w:r>
      <w:r w:rsidRPr="00047F90">
        <w:t xml:space="preserve"> as a worst case scenario (Schonhof </w:t>
      </w:r>
      <w:r w:rsidRPr="0071622F">
        <w:t>et al.</w:t>
      </w:r>
      <w:r w:rsidRPr="00047F90">
        <w:t xml:space="preserve"> 2004). Concentrations noted in the other two papers, one with a small number of samples (n=2) (Schonhof</w:t>
      </w:r>
      <w:r w:rsidRPr="0071622F">
        <w:t xml:space="preserve"> et al.</w:t>
      </w:r>
      <w:r w:rsidRPr="00047F90">
        <w:t xml:space="preserve"> 2004) and one with a larger number of samples (n=19) (Herrmann et al. 1999), were within a similar range.</w:t>
      </w:r>
      <w:r w:rsidR="004D5874">
        <w:t xml:space="preserve"> </w:t>
      </w:r>
      <w:r w:rsidR="00F53ED2">
        <w:t xml:space="preserve">The representative concentration selected was well within the range of concentrations across all the studies that were identified. </w:t>
      </w:r>
      <w:r w:rsidR="004D5874">
        <w:t xml:space="preserve">A summary of all the papers and reasons for exclusion is included in </w:t>
      </w:r>
      <w:r w:rsidR="004D5874" w:rsidRPr="009D35B7">
        <w:t>Table</w:t>
      </w:r>
      <w:r w:rsidR="00A05E7C" w:rsidRPr="009D35B7">
        <w:t> </w:t>
      </w:r>
      <w:r w:rsidR="00D26031" w:rsidRPr="009D35B7">
        <w:t>A1.3</w:t>
      </w:r>
      <w:r w:rsidR="004D5874" w:rsidRPr="009D35B7">
        <w:t>.</w:t>
      </w:r>
    </w:p>
    <w:p w14:paraId="7A8E7FEE" w14:textId="77777777" w:rsidR="006E141E" w:rsidRPr="00047F90" w:rsidRDefault="006E141E" w:rsidP="006E141E"/>
    <w:p w14:paraId="47CED96D" w14:textId="07C2F6C4" w:rsidR="006E141E" w:rsidRPr="00047F90" w:rsidRDefault="00C56035" w:rsidP="006E141E">
      <w:r>
        <w:t>T</w:t>
      </w:r>
      <w:r w:rsidR="006E141E" w:rsidRPr="00047F90">
        <w:t>hree papers were initially selected for erucic acid concentration</w:t>
      </w:r>
      <w:r>
        <w:t>s</w:t>
      </w:r>
      <w:r w:rsidR="006E141E" w:rsidRPr="00047F90">
        <w:t xml:space="preserve">. The foods </w:t>
      </w:r>
      <w:r>
        <w:t>where</w:t>
      </w:r>
      <w:r w:rsidR="006E141E" w:rsidRPr="00047F90">
        <w:t xml:space="preserve"> concentration data </w:t>
      </w:r>
      <w:r>
        <w:t xml:space="preserve">were available </w:t>
      </w:r>
      <w:r w:rsidR="006E141E" w:rsidRPr="00047F90">
        <w:t xml:space="preserve">for erucic acid were cabbage, broccoli, cauliflower and </w:t>
      </w:r>
      <w:r w:rsidR="00A5700E">
        <w:t>B</w:t>
      </w:r>
      <w:r w:rsidR="006E141E" w:rsidRPr="00047F90">
        <w:t>russels sprouts. For erucic acid, due to limited concentration data available, the three included papers were reviewed and erucic acid concentrations data in green broccoli florets was selected (West et al.</w:t>
      </w:r>
      <w:r w:rsidR="006E141E">
        <w:t xml:space="preserve"> </w:t>
      </w:r>
      <w:r w:rsidR="006E141E" w:rsidRPr="00047F90">
        <w:t xml:space="preserve">2002). The selected values </w:t>
      </w:r>
      <w:r w:rsidR="007E544F">
        <w:t xml:space="preserve">(see Table 6.2) </w:t>
      </w:r>
      <w:r w:rsidR="006E141E" w:rsidRPr="00047F90">
        <w:t xml:space="preserve">were used in calculating dietary exposure of consumers to glucosinolates and erucic acid in all </w:t>
      </w:r>
      <w:r w:rsidR="00D15586" w:rsidRPr="00DA0240">
        <w:rPr>
          <w:i/>
          <w:lang w:bidi="ar-SA"/>
        </w:rPr>
        <w:t>Brassica</w:t>
      </w:r>
      <w:r w:rsidR="00D15586" w:rsidRPr="00047F90">
        <w:t xml:space="preserve"> </w:t>
      </w:r>
      <w:r w:rsidR="006E141E" w:rsidRPr="00047F90">
        <w:t>vegetables</w:t>
      </w:r>
      <w:r w:rsidR="006E141E" w:rsidRPr="009D35B7">
        <w:t>.</w:t>
      </w:r>
    </w:p>
    <w:p w14:paraId="3DE00205" w14:textId="577D6A1F" w:rsidR="006E141E" w:rsidRDefault="006E141E" w:rsidP="004A26DB">
      <w:pPr>
        <w:rPr>
          <w:lang w:bidi="ar-SA"/>
        </w:rPr>
      </w:pPr>
    </w:p>
    <w:p w14:paraId="015D10C4" w14:textId="232E68FC" w:rsidR="004D5874" w:rsidRDefault="004D5874" w:rsidP="00D26031">
      <w:pPr>
        <w:ind w:left="567" w:hanging="567"/>
        <w:rPr>
          <w:i/>
          <w:lang w:bidi="ar-SA"/>
        </w:rPr>
      </w:pPr>
      <w:r w:rsidRPr="00FC5481">
        <w:rPr>
          <w:b/>
          <w:i/>
          <w:lang w:bidi="ar-SA"/>
        </w:rPr>
        <w:t xml:space="preserve">Table </w:t>
      </w:r>
      <w:r w:rsidR="00D26031" w:rsidRPr="00FC5481">
        <w:rPr>
          <w:b/>
          <w:i/>
          <w:lang w:bidi="ar-SA"/>
        </w:rPr>
        <w:t>A1.3</w:t>
      </w:r>
      <w:r w:rsidRPr="00FC5481">
        <w:rPr>
          <w:b/>
          <w:i/>
          <w:lang w:bidi="ar-SA"/>
        </w:rPr>
        <w:t>.</w:t>
      </w:r>
      <w:r w:rsidR="00BC789C">
        <w:rPr>
          <w:b/>
          <w:i/>
          <w:lang w:bidi="ar-SA"/>
        </w:rPr>
        <w:tab/>
      </w:r>
      <w:r w:rsidRPr="00BC789C">
        <w:rPr>
          <w:i/>
          <w:lang w:bidi="ar-SA"/>
        </w:rPr>
        <w:t xml:space="preserve">Evaluation of literature for concentrations of </w:t>
      </w:r>
      <w:r w:rsidR="00D054E1" w:rsidRPr="00BC789C">
        <w:rPr>
          <w:i/>
          <w:lang w:bidi="ar-SA"/>
        </w:rPr>
        <w:t>Eru</w:t>
      </w:r>
      <w:r w:rsidR="008001F5" w:rsidRPr="00BC789C">
        <w:rPr>
          <w:i/>
          <w:lang w:bidi="ar-SA"/>
        </w:rPr>
        <w:t xml:space="preserve">cic acid and Glucosinolates in </w:t>
      </w:r>
      <w:r w:rsidR="00D15586" w:rsidRPr="00DA0240">
        <w:rPr>
          <w:i/>
          <w:lang w:bidi="ar-SA"/>
        </w:rPr>
        <w:t>Brassica</w:t>
      </w:r>
      <w:r w:rsidR="00D15586" w:rsidRPr="00BC789C">
        <w:rPr>
          <w:i/>
          <w:lang w:bidi="ar-SA"/>
        </w:rPr>
        <w:t xml:space="preserve"> </w:t>
      </w:r>
      <w:r w:rsidR="00D054E1" w:rsidRPr="00BC789C">
        <w:rPr>
          <w:i/>
          <w:lang w:bidi="ar-SA"/>
        </w:rPr>
        <w:t>vegetables</w:t>
      </w:r>
    </w:p>
    <w:p w14:paraId="467E5BB8" w14:textId="77777777" w:rsidR="00A27A89" w:rsidRPr="00BC789C" w:rsidRDefault="00A27A89" w:rsidP="00D26031">
      <w:pPr>
        <w:ind w:left="567" w:hanging="567"/>
        <w:rPr>
          <w:b/>
          <w:i/>
          <w:lang w:bidi="ar-SA"/>
        </w:rPr>
      </w:pPr>
    </w:p>
    <w:tbl>
      <w:tblPr>
        <w:tblStyle w:val="TableGrid"/>
        <w:tblW w:w="9560" w:type="dxa"/>
        <w:tblLayout w:type="fixed"/>
        <w:tblLook w:val="04A0" w:firstRow="1" w:lastRow="0" w:firstColumn="1" w:lastColumn="0" w:noHBand="0" w:noVBand="1"/>
        <w:tblCaption w:val="Table A1.3 Evaluation of literature for concentrations of Erucic acid and Glucosinolates in  Brassica vegetables"/>
        <w:tblDescription w:val="Table A1.3 has 6 columns. The first column is chemical, the second column is reference source of the data. The third column is food analysed, the fourth column is number of samples, the fifth column is if the data from that paper was included in final dataset which should be either yes or no and the last column is reason for exclusion or inclusion of dataset."/>
      </w:tblPr>
      <w:tblGrid>
        <w:gridCol w:w="1696"/>
        <w:gridCol w:w="2117"/>
        <w:gridCol w:w="1417"/>
        <w:gridCol w:w="1144"/>
        <w:gridCol w:w="1134"/>
        <w:gridCol w:w="2052"/>
      </w:tblGrid>
      <w:tr w:rsidR="00930AE5" w14:paraId="3E3A3085" w14:textId="77777777" w:rsidTr="002C53D7">
        <w:trPr>
          <w:tblHeader/>
        </w:trPr>
        <w:tc>
          <w:tcPr>
            <w:tcW w:w="1696" w:type="dxa"/>
            <w:tcBorders>
              <w:bottom w:val="single" w:sz="4" w:space="0" w:color="000000"/>
            </w:tcBorders>
          </w:tcPr>
          <w:p w14:paraId="39EA40B9" w14:textId="053365D6" w:rsidR="004D5874" w:rsidRPr="00D054E1" w:rsidRDefault="004D5874" w:rsidP="004D5874">
            <w:pPr>
              <w:rPr>
                <w:b/>
                <w:lang w:bidi="ar-SA"/>
              </w:rPr>
            </w:pPr>
            <w:r w:rsidRPr="00D054E1">
              <w:rPr>
                <w:b/>
                <w:lang w:bidi="ar-SA"/>
              </w:rPr>
              <w:t>Chemical</w:t>
            </w:r>
          </w:p>
        </w:tc>
        <w:tc>
          <w:tcPr>
            <w:tcW w:w="2117" w:type="dxa"/>
          </w:tcPr>
          <w:p w14:paraId="6AC1B9DE" w14:textId="51B0098B" w:rsidR="004D5874" w:rsidRPr="00D054E1" w:rsidRDefault="004D5874" w:rsidP="004D5874">
            <w:pPr>
              <w:rPr>
                <w:b/>
                <w:lang w:bidi="ar-SA"/>
              </w:rPr>
            </w:pPr>
            <w:r w:rsidRPr="00D054E1">
              <w:rPr>
                <w:b/>
                <w:lang w:bidi="ar-SA"/>
              </w:rPr>
              <w:t>Reference</w:t>
            </w:r>
          </w:p>
        </w:tc>
        <w:tc>
          <w:tcPr>
            <w:tcW w:w="1417" w:type="dxa"/>
          </w:tcPr>
          <w:p w14:paraId="2504707D" w14:textId="1EE92746" w:rsidR="004D5874" w:rsidRPr="00D054E1" w:rsidRDefault="004D5874" w:rsidP="00930AE5">
            <w:pPr>
              <w:ind w:left="34"/>
              <w:rPr>
                <w:b/>
                <w:lang w:bidi="ar-SA"/>
              </w:rPr>
            </w:pPr>
            <w:r w:rsidRPr="00D054E1">
              <w:rPr>
                <w:b/>
                <w:lang w:bidi="ar-SA"/>
              </w:rPr>
              <w:t>Foods analysed</w:t>
            </w:r>
          </w:p>
        </w:tc>
        <w:tc>
          <w:tcPr>
            <w:tcW w:w="1144" w:type="dxa"/>
          </w:tcPr>
          <w:p w14:paraId="365C2209" w14:textId="0D7CBC69" w:rsidR="004D5874" w:rsidRPr="00D054E1" w:rsidRDefault="004D5874" w:rsidP="00A5700E">
            <w:pPr>
              <w:jc w:val="right"/>
              <w:rPr>
                <w:b/>
                <w:lang w:bidi="ar-SA"/>
              </w:rPr>
            </w:pPr>
            <w:r w:rsidRPr="00D054E1">
              <w:rPr>
                <w:b/>
                <w:lang w:bidi="ar-SA"/>
              </w:rPr>
              <w:t>Number of samples</w:t>
            </w:r>
          </w:p>
        </w:tc>
        <w:tc>
          <w:tcPr>
            <w:tcW w:w="1134" w:type="dxa"/>
          </w:tcPr>
          <w:p w14:paraId="079276B5" w14:textId="215433D2" w:rsidR="004D5874" w:rsidRPr="00D054E1" w:rsidRDefault="004D5874" w:rsidP="004D5874">
            <w:pPr>
              <w:rPr>
                <w:b/>
                <w:lang w:bidi="ar-SA"/>
              </w:rPr>
            </w:pPr>
            <w:r w:rsidRPr="00D054E1">
              <w:rPr>
                <w:b/>
                <w:lang w:bidi="ar-SA"/>
              </w:rPr>
              <w:t>Included in final dataset</w:t>
            </w:r>
          </w:p>
        </w:tc>
        <w:tc>
          <w:tcPr>
            <w:tcW w:w="2052" w:type="dxa"/>
          </w:tcPr>
          <w:p w14:paraId="18E0C384" w14:textId="283B0784" w:rsidR="004D5874" w:rsidRPr="00D054E1" w:rsidRDefault="004D5874" w:rsidP="004D5874">
            <w:pPr>
              <w:rPr>
                <w:b/>
                <w:lang w:bidi="ar-SA"/>
              </w:rPr>
            </w:pPr>
            <w:r w:rsidRPr="00D054E1">
              <w:rPr>
                <w:b/>
                <w:lang w:bidi="ar-SA"/>
              </w:rPr>
              <w:t>Reason for exclusion</w:t>
            </w:r>
            <w:r w:rsidR="00BA019C" w:rsidRPr="00D054E1">
              <w:rPr>
                <w:b/>
                <w:lang w:bidi="ar-SA"/>
              </w:rPr>
              <w:t>/</w:t>
            </w:r>
            <w:r w:rsidR="00A5700E">
              <w:rPr>
                <w:b/>
                <w:lang w:bidi="ar-SA"/>
              </w:rPr>
              <w:t xml:space="preserve"> </w:t>
            </w:r>
            <w:r w:rsidR="00BA019C" w:rsidRPr="00D054E1">
              <w:rPr>
                <w:b/>
                <w:lang w:bidi="ar-SA"/>
              </w:rPr>
              <w:t>inclusion</w:t>
            </w:r>
          </w:p>
        </w:tc>
      </w:tr>
      <w:tr w:rsidR="00930AE5" w14:paraId="3E831952" w14:textId="77777777" w:rsidTr="00A5700E">
        <w:tc>
          <w:tcPr>
            <w:tcW w:w="1696" w:type="dxa"/>
            <w:tcBorders>
              <w:bottom w:val="nil"/>
            </w:tcBorders>
          </w:tcPr>
          <w:p w14:paraId="59643B3B" w14:textId="6FACCEB5" w:rsidR="00550566" w:rsidRDefault="00550566" w:rsidP="00550566">
            <w:pPr>
              <w:rPr>
                <w:lang w:bidi="ar-SA"/>
              </w:rPr>
            </w:pPr>
            <w:r>
              <w:rPr>
                <w:lang w:bidi="ar-SA"/>
              </w:rPr>
              <w:t>Erucic acid</w:t>
            </w:r>
          </w:p>
        </w:tc>
        <w:tc>
          <w:tcPr>
            <w:tcW w:w="2117" w:type="dxa"/>
          </w:tcPr>
          <w:p w14:paraId="754119E7" w14:textId="68043AE6" w:rsidR="00550566" w:rsidRPr="0071622F" w:rsidRDefault="00550566" w:rsidP="00550566">
            <w:pPr>
              <w:rPr>
                <w:lang w:bidi="ar-SA"/>
              </w:rPr>
            </w:pPr>
            <w:r w:rsidRPr="0071622F">
              <w:rPr>
                <w:lang w:bidi="ar-SA"/>
              </w:rPr>
              <w:t>West et al</w:t>
            </w:r>
            <w:r w:rsidR="00D054E1" w:rsidRPr="0071622F">
              <w:rPr>
                <w:lang w:bidi="ar-SA"/>
              </w:rPr>
              <w:t>. (2002)</w:t>
            </w:r>
          </w:p>
        </w:tc>
        <w:tc>
          <w:tcPr>
            <w:tcW w:w="1417" w:type="dxa"/>
          </w:tcPr>
          <w:p w14:paraId="5D8B9A18" w14:textId="33787CDA" w:rsidR="00550566" w:rsidRDefault="00550566" w:rsidP="00550566">
            <w:pPr>
              <w:rPr>
                <w:lang w:bidi="ar-SA"/>
              </w:rPr>
            </w:pPr>
            <w:r>
              <w:rPr>
                <w:lang w:bidi="ar-SA"/>
              </w:rPr>
              <w:t>B</w:t>
            </w:r>
            <w:r w:rsidRPr="00550566">
              <w:rPr>
                <w:lang w:bidi="ar-SA"/>
              </w:rPr>
              <w:t>roccoli florets</w:t>
            </w:r>
          </w:p>
        </w:tc>
        <w:tc>
          <w:tcPr>
            <w:tcW w:w="1144" w:type="dxa"/>
          </w:tcPr>
          <w:p w14:paraId="4FA36934" w14:textId="297027A0" w:rsidR="00550566" w:rsidRDefault="00550566" w:rsidP="00A5700E">
            <w:pPr>
              <w:jc w:val="right"/>
              <w:rPr>
                <w:lang w:bidi="ar-SA"/>
              </w:rPr>
            </w:pPr>
            <w:r>
              <w:rPr>
                <w:lang w:bidi="ar-SA"/>
              </w:rPr>
              <w:t>42</w:t>
            </w:r>
          </w:p>
        </w:tc>
        <w:tc>
          <w:tcPr>
            <w:tcW w:w="1134" w:type="dxa"/>
          </w:tcPr>
          <w:p w14:paraId="4B07CB9A" w14:textId="5CDB059E" w:rsidR="00550566" w:rsidRDefault="00550566" w:rsidP="00550566">
            <w:pPr>
              <w:rPr>
                <w:lang w:bidi="ar-SA"/>
              </w:rPr>
            </w:pPr>
            <w:r>
              <w:rPr>
                <w:lang w:bidi="ar-SA"/>
              </w:rPr>
              <w:t xml:space="preserve">Yes </w:t>
            </w:r>
          </w:p>
        </w:tc>
        <w:tc>
          <w:tcPr>
            <w:tcW w:w="2052" w:type="dxa"/>
          </w:tcPr>
          <w:p w14:paraId="051AB960" w14:textId="6DBB9F98" w:rsidR="00550566" w:rsidRDefault="00BA019C" w:rsidP="00BA019C">
            <w:pPr>
              <w:rPr>
                <w:lang w:bidi="ar-SA"/>
              </w:rPr>
            </w:pPr>
            <w:r>
              <w:rPr>
                <w:lang w:bidi="ar-SA"/>
              </w:rPr>
              <w:t>Reliable data estimate as a worst case scenario, large samples, florets are usuall</w:t>
            </w:r>
            <w:r w:rsidR="00550566" w:rsidRPr="00550566">
              <w:rPr>
                <w:lang w:bidi="ar-SA"/>
              </w:rPr>
              <w:t>y consumed</w:t>
            </w:r>
          </w:p>
        </w:tc>
      </w:tr>
      <w:tr w:rsidR="00D054E1" w14:paraId="706405B2" w14:textId="77777777" w:rsidTr="00A5700E">
        <w:tc>
          <w:tcPr>
            <w:tcW w:w="1696" w:type="dxa"/>
            <w:tcBorders>
              <w:top w:val="nil"/>
              <w:bottom w:val="nil"/>
            </w:tcBorders>
          </w:tcPr>
          <w:p w14:paraId="178A5EF1" w14:textId="77777777" w:rsidR="00D054E1" w:rsidRDefault="00D054E1" w:rsidP="00550566">
            <w:pPr>
              <w:rPr>
                <w:lang w:bidi="ar-SA"/>
              </w:rPr>
            </w:pPr>
          </w:p>
        </w:tc>
        <w:tc>
          <w:tcPr>
            <w:tcW w:w="2117" w:type="dxa"/>
          </w:tcPr>
          <w:p w14:paraId="3268F53B" w14:textId="61BCE8E1" w:rsidR="00D054E1" w:rsidRPr="0071622F" w:rsidRDefault="00D054E1" w:rsidP="00550566">
            <w:pPr>
              <w:rPr>
                <w:lang w:bidi="ar-SA"/>
              </w:rPr>
            </w:pPr>
            <w:r w:rsidRPr="0071622F">
              <w:rPr>
                <w:lang w:bidi="ar-SA"/>
              </w:rPr>
              <w:t>West et al. (2002)</w:t>
            </w:r>
          </w:p>
        </w:tc>
        <w:tc>
          <w:tcPr>
            <w:tcW w:w="1417" w:type="dxa"/>
          </w:tcPr>
          <w:p w14:paraId="7F949C51" w14:textId="6096B808" w:rsidR="00D054E1" w:rsidRPr="00D054E1" w:rsidRDefault="00D054E1" w:rsidP="00550566">
            <w:pPr>
              <w:rPr>
                <w:lang w:bidi="ar-SA"/>
              </w:rPr>
            </w:pPr>
            <w:r w:rsidRPr="00D054E1">
              <w:rPr>
                <w:lang w:bidi="ar-SA"/>
              </w:rPr>
              <w:t>Broccoli</w:t>
            </w:r>
            <w:r>
              <w:rPr>
                <w:lang w:bidi="ar-SA"/>
              </w:rPr>
              <w:t xml:space="preserve"> sprouts</w:t>
            </w:r>
          </w:p>
        </w:tc>
        <w:tc>
          <w:tcPr>
            <w:tcW w:w="1144" w:type="dxa"/>
          </w:tcPr>
          <w:p w14:paraId="033DBF00" w14:textId="7D96CFCB" w:rsidR="00D054E1" w:rsidRDefault="00D054E1" w:rsidP="00A5700E">
            <w:pPr>
              <w:jc w:val="right"/>
              <w:rPr>
                <w:lang w:bidi="ar-SA"/>
              </w:rPr>
            </w:pPr>
            <w:r>
              <w:rPr>
                <w:lang w:bidi="ar-SA"/>
              </w:rPr>
              <w:t>1</w:t>
            </w:r>
          </w:p>
        </w:tc>
        <w:tc>
          <w:tcPr>
            <w:tcW w:w="1134" w:type="dxa"/>
          </w:tcPr>
          <w:p w14:paraId="72D501F1" w14:textId="1C767515" w:rsidR="00D054E1" w:rsidRDefault="00D054E1" w:rsidP="00550566">
            <w:pPr>
              <w:rPr>
                <w:lang w:bidi="ar-SA"/>
              </w:rPr>
            </w:pPr>
            <w:r>
              <w:rPr>
                <w:lang w:bidi="ar-SA"/>
              </w:rPr>
              <w:t>No</w:t>
            </w:r>
          </w:p>
        </w:tc>
        <w:tc>
          <w:tcPr>
            <w:tcW w:w="2052" w:type="dxa"/>
          </w:tcPr>
          <w:p w14:paraId="70B87B6D" w14:textId="7B6092D4" w:rsidR="00D054E1" w:rsidRPr="00D054E1" w:rsidRDefault="00D054E1" w:rsidP="00D054E1">
            <w:pPr>
              <w:rPr>
                <w:lang w:bidi="ar-SA"/>
              </w:rPr>
            </w:pPr>
            <w:r w:rsidRPr="00D054E1">
              <w:rPr>
                <w:lang w:bidi="ar-SA"/>
              </w:rPr>
              <w:t>Unreliable data estimate, only 1 sample</w:t>
            </w:r>
          </w:p>
        </w:tc>
      </w:tr>
      <w:tr w:rsidR="00D054E1" w14:paraId="06F52EA6" w14:textId="77777777" w:rsidTr="00A5700E">
        <w:tc>
          <w:tcPr>
            <w:tcW w:w="1696" w:type="dxa"/>
            <w:tcBorders>
              <w:top w:val="nil"/>
              <w:bottom w:val="nil"/>
            </w:tcBorders>
          </w:tcPr>
          <w:p w14:paraId="3BD8F2A2" w14:textId="77777777" w:rsidR="00D054E1" w:rsidRDefault="00D054E1" w:rsidP="00550566">
            <w:pPr>
              <w:rPr>
                <w:lang w:bidi="ar-SA"/>
              </w:rPr>
            </w:pPr>
          </w:p>
        </w:tc>
        <w:tc>
          <w:tcPr>
            <w:tcW w:w="2117" w:type="dxa"/>
          </w:tcPr>
          <w:p w14:paraId="0CE0FC75" w14:textId="50266704" w:rsidR="00D054E1" w:rsidRPr="0071622F" w:rsidRDefault="00D054E1" w:rsidP="00550566">
            <w:pPr>
              <w:rPr>
                <w:lang w:bidi="ar-SA"/>
              </w:rPr>
            </w:pPr>
            <w:r w:rsidRPr="0071622F">
              <w:rPr>
                <w:lang w:bidi="ar-SA"/>
              </w:rPr>
              <w:t>West et al. (2002)</w:t>
            </w:r>
          </w:p>
        </w:tc>
        <w:tc>
          <w:tcPr>
            <w:tcW w:w="1417" w:type="dxa"/>
          </w:tcPr>
          <w:p w14:paraId="2E41D28C" w14:textId="2F5B4F4D" w:rsidR="00D054E1" w:rsidRPr="00550566" w:rsidRDefault="00D054E1" w:rsidP="00550566">
            <w:pPr>
              <w:rPr>
                <w:lang w:bidi="ar-SA"/>
              </w:rPr>
            </w:pPr>
            <w:r w:rsidRPr="00D054E1">
              <w:rPr>
                <w:lang w:bidi="ar-SA"/>
              </w:rPr>
              <w:t>Broccoli</w:t>
            </w:r>
            <w:r>
              <w:rPr>
                <w:lang w:bidi="ar-SA"/>
              </w:rPr>
              <w:t xml:space="preserve"> seeds</w:t>
            </w:r>
          </w:p>
        </w:tc>
        <w:tc>
          <w:tcPr>
            <w:tcW w:w="1144" w:type="dxa"/>
          </w:tcPr>
          <w:p w14:paraId="2E37079F" w14:textId="158ADA01" w:rsidR="00D054E1" w:rsidRDefault="00D054E1" w:rsidP="00A5700E">
            <w:pPr>
              <w:jc w:val="right"/>
              <w:rPr>
                <w:lang w:bidi="ar-SA"/>
              </w:rPr>
            </w:pPr>
            <w:r>
              <w:rPr>
                <w:lang w:bidi="ar-SA"/>
              </w:rPr>
              <w:t>NS</w:t>
            </w:r>
          </w:p>
        </w:tc>
        <w:tc>
          <w:tcPr>
            <w:tcW w:w="1134" w:type="dxa"/>
          </w:tcPr>
          <w:p w14:paraId="102C3289" w14:textId="227D5DA5" w:rsidR="00D054E1" w:rsidRDefault="00D054E1" w:rsidP="00550566">
            <w:pPr>
              <w:rPr>
                <w:lang w:bidi="ar-SA"/>
              </w:rPr>
            </w:pPr>
            <w:r>
              <w:rPr>
                <w:lang w:bidi="ar-SA"/>
              </w:rPr>
              <w:t>No</w:t>
            </w:r>
          </w:p>
        </w:tc>
        <w:tc>
          <w:tcPr>
            <w:tcW w:w="2052" w:type="dxa"/>
          </w:tcPr>
          <w:p w14:paraId="0A9B6819" w14:textId="71DBF2DC" w:rsidR="00D054E1" w:rsidRPr="00550566" w:rsidRDefault="00D054E1" w:rsidP="00D054E1">
            <w:pPr>
              <w:rPr>
                <w:lang w:bidi="ar-SA"/>
              </w:rPr>
            </w:pPr>
            <w:r w:rsidRPr="00D054E1">
              <w:rPr>
                <w:lang w:bidi="ar-SA"/>
              </w:rPr>
              <w:t>No of samples not provided</w:t>
            </w:r>
          </w:p>
        </w:tc>
      </w:tr>
      <w:tr w:rsidR="00930AE5" w14:paraId="4DD1D112" w14:textId="77777777" w:rsidTr="00A5700E">
        <w:tc>
          <w:tcPr>
            <w:tcW w:w="1696" w:type="dxa"/>
            <w:tcBorders>
              <w:top w:val="nil"/>
              <w:bottom w:val="nil"/>
            </w:tcBorders>
          </w:tcPr>
          <w:p w14:paraId="428C0D94" w14:textId="4A0C6DDA" w:rsidR="00550566" w:rsidRDefault="00550566" w:rsidP="00550566">
            <w:pPr>
              <w:rPr>
                <w:lang w:bidi="ar-SA"/>
              </w:rPr>
            </w:pPr>
          </w:p>
        </w:tc>
        <w:tc>
          <w:tcPr>
            <w:tcW w:w="2117" w:type="dxa"/>
          </w:tcPr>
          <w:p w14:paraId="11F1B958" w14:textId="66B37967" w:rsidR="00550566" w:rsidRPr="0071622F" w:rsidRDefault="00550566" w:rsidP="00550566">
            <w:pPr>
              <w:rPr>
                <w:lang w:bidi="ar-SA"/>
              </w:rPr>
            </w:pPr>
            <w:r w:rsidRPr="0071622F">
              <w:rPr>
                <w:lang w:bidi="ar-SA"/>
              </w:rPr>
              <w:t xml:space="preserve">Vale </w:t>
            </w:r>
            <w:r w:rsidR="00741606" w:rsidRPr="0071622F">
              <w:rPr>
                <w:lang w:bidi="ar-SA"/>
              </w:rPr>
              <w:t>et al.</w:t>
            </w:r>
            <w:r w:rsidRPr="0071622F">
              <w:rPr>
                <w:lang w:bidi="ar-SA"/>
              </w:rPr>
              <w:t xml:space="preserve"> (2015)</w:t>
            </w:r>
          </w:p>
        </w:tc>
        <w:tc>
          <w:tcPr>
            <w:tcW w:w="1417" w:type="dxa"/>
          </w:tcPr>
          <w:p w14:paraId="01600F88" w14:textId="6CE36132" w:rsidR="00550566" w:rsidRDefault="00550566" w:rsidP="00550566">
            <w:pPr>
              <w:rPr>
                <w:lang w:bidi="ar-SA"/>
              </w:rPr>
            </w:pPr>
            <w:r w:rsidRPr="00550566">
              <w:rPr>
                <w:lang w:bidi="ar-SA"/>
              </w:rPr>
              <w:t>Wild Cabbage-</w:t>
            </w:r>
            <w:r>
              <w:rPr>
                <w:lang w:bidi="ar-SA"/>
              </w:rPr>
              <w:t>sprouts</w:t>
            </w:r>
          </w:p>
        </w:tc>
        <w:tc>
          <w:tcPr>
            <w:tcW w:w="1144" w:type="dxa"/>
          </w:tcPr>
          <w:p w14:paraId="5D408E79" w14:textId="6A14BE10" w:rsidR="00550566" w:rsidRDefault="00550566" w:rsidP="00A5700E">
            <w:pPr>
              <w:jc w:val="right"/>
              <w:rPr>
                <w:lang w:bidi="ar-SA"/>
              </w:rPr>
            </w:pPr>
            <w:r>
              <w:rPr>
                <w:lang w:bidi="ar-SA"/>
              </w:rPr>
              <w:t>8</w:t>
            </w:r>
          </w:p>
        </w:tc>
        <w:tc>
          <w:tcPr>
            <w:tcW w:w="1134" w:type="dxa"/>
          </w:tcPr>
          <w:p w14:paraId="10A6AF66" w14:textId="38CC523E" w:rsidR="00550566" w:rsidRDefault="00550566" w:rsidP="00550566">
            <w:pPr>
              <w:rPr>
                <w:lang w:bidi="ar-SA"/>
              </w:rPr>
            </w:pPr>
            <w:r>
              <w:rPr>
                <w:lang w:bidi="ar-SA"/>
              </w:rPr>
              <w:t xml:space="preserve">No </w:t>
            </w:r>
          </w:p>
        </w:tc>
        <w:tc>
          <w:tcPr>
            <w:tcW w:w="2052" w:type="dxa"/>
          </w:tcPr>
          <w:p w14:paraId="65A38929" w14:textId="56206F4C" w:rsidR="00550566" w:rsidRDefault="00A5700E" w:rsidP="00550566">
            <w:pPr>
              <w:rPr>
                <w:lang w:bidi="ar-SA"/>
              </w:rPr>
            </w:pPr>
            <w:r>
              <w:rPr>
                <w:lang w:bidi="ar-SA"/>
              </w:rPr>
              <w:t>U</w:t>
            </w:r>
            <w:r w:rsidR="00550566" w:rsidRPr="00550566">
              <w:rPr>
                <w:lang w:bidi="ar-SA"/>
              </w:rPr>
              <w:t>nreliable estimate</w:t>
            </w:r>
          </w:p>
        </w:tc>
      </w:tr>
      <w:tr w:rsidR="00930AE5" w14:paraId="70555A13" w14:textId="77777777" w:rsidTr="00A5700E">
        <w:tc>
          <w:tcPr>
            <w:tcW w:w="1696" w:type="dxa"/>
            <w:tcBorders>
              <w:top w:val="nil"/>
              <w:bottom w:val="nil"/>
            </w:tcBorders>
          </w:tcPr>
          <w:p w14:paraId="149DD251" w14:textId="41A4D8B4" w:rsidR="00550566" w:rsidRDefault="00550566" w:rsidP="00550566">
            <w:pPr>
              <w:rPr>
                <w:lang w:bidi="ar-SA"/>
              </w:rPr>
            </w:pPr>
          </w:p>
        </w:tc>
        <w:tc>
          <w:tcPr>
            <w:tcW w:w="2117" w:type="dxa"/>
          </w:tcPr>
          <w:p w14:paraId="059A2CBE" w14:textId="59014BF9" w:rsidR="00550566" w:rsidRDefault="00930AE5" w:rsidP="00550566">
            <w:pPr>
              <w:rPr>
                <w:lang w:bidi="ar-SA"/>
              </w:rPr>
            </w:pPr>
            <w:r w:rsidRPr="00930AE5">
              <w:rPr>
                <w:lang w:bidi="ar-SA"/>
              </w:rPr>
              <w:t>www.efsa.europa.eu/efsajournal</w:t>
            </w:r>
          </w:p>
        </w:tc>
        <w:tc>
          <w:tcPr>
            <w:tcW w:w="1417" w:type="dxa"/>
          </w:tcPr>
          <w:p w14:paraId="06B33B29" w14:textId="2A761BDB" w:rsidR="00550566" w:rsidRDefault="00D15586" w:rsidP="00550566">
            <w:pPr>
              <w:rPr>
                <w:lang w:bidi="ar-SA"/>
              </w:rPr>
            </w:pPr>
            <w:r w:rsidRPr="00DA0240">
              <w:rPr>
                <w:i/>
                <w:lang w:bidi="ar-SA"/>
              </w:rPr>
              <w:t>Brassica</w:t>
            </w:r>
            <w:r w:rsidRPr="00550566">
              <w:rPr>
                <w:lang w:bidi="ar-SA"/>
              </w:rPr>
              <w:t xml:space="preserve"> </w:t>
            </w:r>
            <w:r w:rsidR="00550566" w:rsidRPr="00550566">
              <w:rPr>
                <w:lang w:bidi="ar-SA"/>
              </w:rPr>
              <w:t>vegetables</w:t>
            </w:r>
          </w:p>
        </w:tc>
        <w:tc>
          <w:tcPr>
            <w:tcW w:w="1144" w:type="dxa"/>
          </w:tcPr>
          <w:p w14:paraId="24F147F9" w14:textId="1206B49F" w:rsidR="00550566" w:rsidRDefault="00930AE5" w:rsidP="00A5700E">
            <w:pPr>
              <w:jc w:val="right"/>
              <w:rPr>
                <w:lang w:bidi="ar-SA"/>
              </w:rPr>
            </w:pPr>
            <w:r>
              <w:rPr>
                <w:lang w:bidi="ar-SA"/>
              </w:rPr>
              <w:t>1</w:t>
            </w:r>
          </w:p>
        </w:tc>
        <w:tc>
          <w:tcPr>
            <w:tcW w:w="1134" w:type="dxa"/>
          </w:tcPr>
          <w:p w14:paraId="5762D826" w14:textId="0BB731D7" w:rsidR="00550566" w:rsidRDefault="00930AE5" w:rsidP="00550566">
            <w:pPr>
              <w:rPr>
                <w:lang w:bidi="ar-SA"/>
              </w:rPr>
            </w:pPr>
            <w:r>
              <w:rPr>
                <w:lang w:bidi="ar-SA"/>
              </w:rPr>
              <w:t>No</w:t>
            </w:r>
          </w:p>
        </w:tc>
        <w:tc>
          <w:tcPr>
            <w:tcW w:w="2052" w:type="dxa"/>
          </w:tcPr>
          <w:p w14:paraId="060B0898" w14:textId="4125A18D" w:rsidR="00550566" w:rsidRDefault="00A5700E" w:rsidP="00550566">
            <w:pPr>
              <w:rPr>
                <w:lang w:bidi="ar-SA"/>
              </w:rPr>
            </w:pPr>
            <w:r>
              <w:rPr>
                <w:lang w:bidi="ar-SA"/>
              </w:rPr>
              <w:t>O</w:t>
            </w:r>
            <w:r w:rsidR="00930AE5">
              <w:rPr>
                <w:lang w:bidi="ar-SA"/>
              </w:rPr>
              <w:t xml:space="preserve">ne sample, unreliable </w:t>
            </w:r>
            <w:r>
              <w:rPr>
                <w:lang w:bidi="ar-SA"/>
              </w:rPr>
              <w:t>estimate</w:t>
            </w:r>
          </w:p>
        </w:tc>
      </w:tr>
      <w:tr w:rsidR="00930AE5" w14:paraId="028D5D3E" w14:textId="77777777" w:rsidTr="00A5700E">
        <w:tc>
          <w:tcPr>
            <w:tcW w:w="1696" w:type="dxa"/>
            <w:tcBorders>
              <w:top w:val="nil"/>
              <w:bottom w:val="single" w:sz="4" w:space="0" w:color="000000"/>
            </w:tcBorders>
          </w:tcPr>
          <w:p w14:paraId="4D3C5EFA" w14:textId="72F1299D" w:rsidR="00550566" w:rsidRDefault="00550566" w:rsidP="00550566">
            <w:pPr>
              <w:rPr>
                <w:lang w:bidi="ar-SA"/>
              </w:rPr>
            </w:pPr>
          </w:p>
        </w:tc>
        <w:tc>
          <w:tcPr>
            <w:tcW w:w="2117" w:type="dxa"/>
          </w:tcPr>
          <w:p w14:paraId="20147CBC" w14:textId="74844FDE" w:rsidR="00550566" w:rsidRDefault="00606187" w:rsidP="00606187">
            <w:pPr>
              <w:rPr>
                <w:lang w:bidi="ar-SA"/>
              </w:rPr>
            </w:pPr>
            <w:r w:rsidRPr="00606187">
              <w:rPr>
                <w:lang w:bidi="ar-SA"/>
              </w:rPr>
              <w:t>www.efsa.europa.eu/efsajournal</w:t>
            </w:r>
          </w:p>
        </w:tc>
        <w:tc>
          <w:tcPr>
            <w:tcW w:w="1417" w:type="dxa"/>
          </w:tcPr>
          <w:p w14:paraId="4D01EF98" w14:textId="6A02AF08" w:rsidR="00550566" w:rsidRDefault="00606187" w:rsidP="00550566">
            <w:pPr>
              <w:rPr>
                <w:lang w:bidi="ar-SA"/>
              </w:rPr>
            </w:pPr>
            <w:r w:rsidRPr="00606187">
              <w:rPr>
                <w:lang w:bidi="ar-SA"/>
              </w:rPr>
              <w:t>Cauliflower</w:t>
            </w:r>
          </w:p>
        </w:tc>
        <w:tc>
          <w:tcPr>
            <w:tcW w:w="1144" w:type="dxa"/>
          </w:tcPr>
          <w:p w14:paraId="5E517601" w14:textId="2FFF0677" w:rsidR="00550566" w:rsidRDefault="00606187" w:rsidP="00A5700E">
            <w:pPr>
              <w:jc w:val="right"/>
              <w:rPr>
                <w:lang w:bidi="ar-SA"/>
              </w:rPr>
            </w:pPr>
            <w:r>
              <w:rPr>
                <w:lang w:bidi="ar-SA"/>
              </w:rPr>
              <w:t>24</w:t>
            </w:r>
          </w:p>
        </w:tc>
        <w:tc>
          <w:tcPr>
            <w:tcW w:w="1134" w:type="dxa"/>
          </w:tcPr>
          <w:p w14:paraId="7628F1C1" w14:textId="47FCACB7" w:rsidR="00550566" w:rsidRDefault="00606187" w:rsidP="00550566">
            <w:pPr>
              <w:rPr>
                <w:lang w:bidi="ar-SA"/>
              </w:rPr>
            </w:pPr>
            <w:r>
              <w:rPr>
                <w:lang w:bidi="ar-SA"/>
              </w:rPr>
              <w:t>No</w:t>
            </w:r>
          </w:p>
        </w:tc>
        <w:tc>
          <w:tcPr>
            <w:tcW w:w="2052" w:type="dxa"/>
          </w:tcPr>
          <w:p w14:paraId="1BCF80D0" w14:textId="7E89431D" w:rsidR="00550566" w:rsidRDefault="00606187" w:rsidP="00550566">
            <w:pPr>
              <w:rPr>
                <w:lang w:bidi="ar-SA"/>
              </w:rPr>
            </w:pPr>
            <w:r w:rsidRPr="00606187">
              <w:rPr>
                <w:lang w:bidi="ar-SA"/>
              </w:rPr>
              <w:t>No means nor median values provided</w:t>
            </w:r>
          </w:p>
        </w:tc>
      </w:tr>
      <w:tr w:rsidR="00930AE5" w14:paraId="2DE7A82C" w14:textId="77777777" w:rsidTr="00A5700E">
        <w:tc>
          <w:tcPr>
            <w:tcW w:w="1696" w:type="dxa"/>
            <w:tcBorders>
              <w:bottom w:val="nil"/>
            </w:tcBorders>
          </w:tcPr>
          <w:p w14:paraId="7997F730" w14:textId="578A905F" w:rsidR="00550566" w:rsidRDefault="00550566" w:rsidP="00550566">
            <w:pPr>
              <w:rPr>
                <w:lang w:bidi="ar-SA"/>
              </w:rPr>
            </w:pPr>
            <w:r>
              <w:rPr>
                <w:lang w:bidi="ar-SA"/>
              </w:rPr>
              <w:t>Glucosinolates</w:t>
            </w:r>
          </w:p>
        </w:tc>
        <w:tc>
          <w:tcPr>
            <w:tcW w:w="2117" w:type="dxa"/>
          </w:tcPr>
          <w:p w14:paraId="55F2D2A4" w14:textId="2123B369" w:rsidR="00550566" w:rsidRPr="005A4E4C" w:rsidRDefault="009250B2" w:rsidP="005A4E4C">
            <w:pPr>
              <w:rPr>
                <w:lang w:bidi="ar-SA"/>
              </w:rPr>
            </w:pPr>
            <w:r w:rsidRPr="005A4E4C">
              <w:rPr>
                <w:lang w:bidi="ar-SA"/>
              </w:rPr>
              <w:t>Schonhof et al. (2004)</w:t>
            </w:r>
          </w:p>
        </w:tc>
        <w:tc>
          <w:tcPr>
            <w:tcW w:w="1417" w:type="dxa"/>
          </w:tcPr>
          <w:p w14:paraId="5F87AE20" w14:textId="0A76B3DA" w:rsidR="00550566" w:rsidRDefault="009250B2" w:rsidP="00550566">
            <w:pPr>
              <w:rPr>
                <w:lang w:bidi="ar-SA"/>
              </w:rPr>
            </w:pPr>
            <w:r w:rsidRPr="009250B2">
              <w:rPr>
                <w:lang w:bidi="ar-SA"/>
              </w:rPr>
              <w:t>Green broccoli</w:t>
            </w:r>
          </w:p>
        </w:tc>
        <w:tc>
          <w:tcPr>
            <w:tcW w:w="1144" w:type="dxa"/>
          </w:tcPr>
          <w:p w14:paraId="732FE594" w14:textId="263A18A6" w:rsidR="00550566" w:rsidRDefault="009250B2" w:rsidP="00A5700E">
            <w:pPr>
              <w:jc w:val="right"/>
              <w:rPr>
                <w:lang w:bidi="ar-SA"/>
              </w:rPr>
            </w:pPr>
            <w:r w:rsidRPr="009250B2">
              <w:rPr>
                <w:lang w:bidi="ar-SA"/>
              </w:rPr>
              <w:t>3</w:t>
            </w:r>
          </w:p>
        </w:tc>
        <w:tc>
          <w:tcPr>
            <w:tcW w:w="1134" w:type="dxa"/>
          </w:tcPr>
          <w:p w14:paraId="0F874472" w14:textId="269ABC3F" w:rsidR="00550566" w:rsidRDefault="009250B2" w:rsidP="00550566">
            <w:pPr>
              <w:rPr>
                <w:lang w:bidi="ar-SA"/>
              </w:rPr>
            </w:pPr>
            <w:r>
              <w:rPr>
                <w:lang w:bidi="ar-SA"/>
              </w:rPr>
              <w:t>Yes</w:t>
            </w:r>
          </w:p>
        </w:tc>
        <w:tc>
          <w:tcPr>
            <w:tcW w:w="2052" w:type="dxa"/>
          </w:tcPr>
          <w:p w14:paraId="53598F9F" w14:textId="70599F18" w:rsidR="00550566" w:rsidRDefault="00A5700E" w:rsidP="00550566">
            <w:pPr>
              <w:rPr>
                <w:lang w:bidi="ar-SA"/>
              </w:rPr>
            </w:pPr>
            <w:r>
              <w:rPr>
                <w:lang w:bidi="ar-SA"/>
              </w:rPr>
              <w:t xml:space="preserve">Reliable worst case scenario </w:t>
            </w:r>
            <w:r w:rsidR="009250B2" w:rsidRPr="009250B2">
              <w:rPr>
                <w:lang w:bidi="ar-SA"/>
              </w:rPr>
              <w:t>conc. values, sample no. &gt;1</w:t>
            </w:r>
          </w:p>
        </w:tc>
      </w:tr>
      <w:tr w:rsidR="00F24B5D" w14:paraId="2D3AB5FF" w14:textId="77777777" w:rsidTr="00A5700E">
        <w:tc>
          <w:tcPr>
            <w:tcW w:w="1696" w:type="dxa"/>
            <w:tcBorders>
              <w:top w:val="nil"/>
              <w:bottom w:val="nil"/>
            </w:tcBorders>
          </w:tcPr>
          <w:p w14:paraId="15685416" w14:textId="24E9F153" w:rsidR="00F24B5D" w:rsidRDefault="00F24B5D" w:rsidP="00F24B5D">
            <w:pPr>
              <w:rPr>
                <w:lang w:bidi="ar-SA"/>
              </w:rPr>
            </w:pPr>
          </w:p>
        </w:tc>
        <w:tc>
          <w:tcPr>
            <w:tcW w:w="2117" w:type="dxa"/>
          </w:tcPr>
          <w:p w14:paraId="5E6E985F" w14:textId="547BB657" w:rsidR="00F24B5D" w:rsidRPr="005A4E4C" w:rsidRDefault="00F24B5D" w:rsidP="005A4E4C">
            <w:pPr>
              <w:rPr>
                <w:lang w:bidi="ar-SA"/>
              </w:rPr>
            </w:pPr>
            <w:r w:rsidRPr="005A4E4C">
              <w:rPr>
                <w:lang w:bidi="ar-SA"/>
              </w:rPr>
              <w:t>Charron et al. (2005)</w:t>
            </w:r>
          </w:p>
        </w:tc>
        <w:tc>
          <w:tcPr>
            <w:tcW w:w="1417" w:type="dxa"/>
          </w:tcPr>
          <w:p w14:paraId="53D8602F" w14:textId="5FABE1E6" w:rsidR="00F24B5D" w:rsidRPr="009250B2" w:rsidRDefault="00F24B5D" w:rsidP="00F24B5D">
            <w:pPr>
              <w:rPr>
                <w:lang w:bidi="ar-SA"/>
              </w:rPr>
            </w:pPr>
            <w:r w:rsidRPr="00F24B5D">
              <w:rPr>
                <w:lang w:bidi="ar-SA"/>
              </w:rPr>
              <w:t>Green broccoli</w:t>
            </w:r>
            <w:r>
              <w:rPr>
                <w:lang w:bidi="ar-SA"/>
              </w:rPr>
              <w:t xml:space="preserve"> </w:t>
            </w:r>
          </w:p>
        </w:tc>
        <w:tc>
          <w:tcPr>
            <w:tcW w:w="1144" w:type="dxa"/>
          </w:tcPr>
          <w:p w14:paraId="2EEEC597" w14:textId="5458B225" w:rsidR="00F24B5D" w:rsidRPr="009250B2" w:rsidRDefault="00F24B5D" w:rsidP="00A5700E">
            <w:pPr>
              <w:jc w:val="right"/>
              <w:rPr>
                <w:lang w:bidi="ar-SA"/>
              </w:rPr>
            </w:pPr>
            <w:r>
              <w:rPr>
                <w:lang w:bidi="ar-SA"/>
              </w:rPr>
              <w:t>2</w:t>
            </w:r>
          </w:p>
        </w:tc>
        <w:tc>
          <w:tcPr>
            <w:tcW w:w="1134" w:type="dxa"/>
          </w:tcPr>
          <w:p w14:paraId="191EF585" w14:textId="3C852F7E" w:rsidR="00F24B5D" w:rsidRDefault="00F24B5D" w:rsidP="00F24B5D">
            <w:pPr>
              <w:rPr>
                <w:lang w:bidi="ar-SA"/>
              </w:rPr>
            </w:pPr>
            <w:r>
              <w:rPr>
                <w:lang w:bidi="ar-SA"/>
              </w:rPr>
              <w:t>No</w:t>
            </w:r>
          </w:p>
        </w:tc>
        <w:tc>
          <w:tcPr>
            <w:tcW w:w="2052" w:type="dxa"/>
          </w:tcPr>
          <w:p w14:paraId="53BDA39E" w14:textId="4DE1AA1E" w:rsidR="00F24B5D" w:rsidRPr="009250B2" w:rsidRDefault="00F24B5D" w:rsidP="00A5700E">
            <w:pPr>
              <w:rPr>
                <w:lang w:bidi="ar-SA"/>
              </w:rPr>
            </w:pPr>
            <w:r>
              <w:rPr>
                <w:lang w:bidi="ar-SA"/>
              </w:rPr>
              <w:t>Low value</w:t>
            </w:r>
            <w:r w:rsidR="00A5700E">
              <w:rPr>
                <w:lang w:bidi="ar-SA"/>
              </w:rPr>
              <w:t>, not worst case</w:t>
            </w:r>
          </w:p>
        </w:tc>
      </w:tr>
      <w:tr w:rsidR="00E74B80" w14:paraId="1D8FA924" w14:textId="77777777" w:rsidTr="00A5700E">
        <w:tc>
          <w:tcPr>
            <w:tcW w:w="1696" w:type="dxa"/>
            <w:tcBorders>
              <w:top w:val="nil"/>
              <w:bottom w:val="nil"/>
            </w:tcBorders>
          </w:tcPr>
          <w:p w14:paraId="4DAC0D94" w14:textId="40237F77" w:rsidR="00E74B80" w:rsidRDefault="00E74B80" w:rsidP="00E74B80">
            <w:pPr>
              <w:rPr>
                <w:lang w:bidi="ar-SA"/>
              </w:rPr>
            </w:pPr>
          </w:p>
        </w:tc>
        <w:tc>
          <w:tcPr>
            <w:tcW w:w="2117" w:type="dxa"/>
          </w:tcPr>
          <w:p w14:paraId="5C91D402" w14:textId="18F31742" w:rsidR="00E74B80" w:rsidRPr="005A4E4C" w:rsidRDefault="00E74B80" w:rsidP="00E74B80">
            <w:pPr>
              <w:rPr>
                <w:lang w:bidi="ar-SA"/>
              </w:rPr>
            </w:pPr>
            <w:r w:rsidRPr="005A4E4C">
              <w:rPr>
                <w:lang w:bidi="ar-SA"/>
              </w:rPr>
              <w:t>Schonhof et al. (2004)</w:t>
            </w:r>
          </w:p>
        </w:tc>
        <w:tc>
          <w:tcPr>
            <w:tcW w:w="1417" w:type="dxa"/>
          </w:tcPr>
          <w:p w14:paraId="617F4A7C" w14:textId="57696210" w:rsidR="00E74B80" w:rsidRPr="009250B2" w:rsidRDefault="00E74B80" w:rsidP="00E74B80">
            <w:pPr>
              <w:rPr>
                <w:lang w:bidi="ar-SA"/>
              </w:rPr>
            </w:pPr>
            <w:r w:rsidRPr="00E74B80">
              <w:rPr>
                <w:lang w:bidi="ar-SA"/>
              </w:rPr>
              <w:t>Purple broccoli</w:t>
            </w:r>
          </w:p>
        </w:tc>
        <w:tc>
          <w:tcPr>
            <w:tcW w:w="1144" w:type="dxa"/>
          </w:tcPr>
          <w:p w14:paraId="6B595741" w14:textId="65595DA7" w:rsidR="00E74B80" w:rsidRDefault="00E74B80" w:rsidP="00A5700E">
            <w:pPr>
              <w:jc w:val="right"/>
              <w:rPr>
                <w:lang w:bidi="ar-SA"/>
              </w:rPr>
            </w:pPr>
            <w:r>
              <w:rPr>
                <w:lang w:bidi="ar-SA"/>
              </w:rPr>
              <w:t>1</w:t>
            </w:r>
          </w:p>
        </w:tc>
        <w:tc>
          <w:tcPr>
            <w:tcW w:w="1134" w:type="dxa"/>
          </w:tcPr>
          <w:p w14:paraId="5D753B24" w14:textId="726D6446" w:rsidR="00E74B80" w:rsidRDefault="00E74B80" w:rsidP="00E74B80">
            <w:pPr>
              <w:rPr>
                <w:lang w:bidi="ar-SA"/>
              </w:rPr>
            </w:pPr>
            <w:r>
              <w:rPr>
                <w:lang w:bidi="ar-SA"/>
              </w:rPr>
              <w:t>No</w:t>
            </w:r>
          </w:p>
        </w:tc>
        <w:tc>
          <w:tcPr>
            <w:tcW w:w="2052" w:type="dxa"/>
          </w:tcPr>
          <w:p w14:paraId="756ACEE2" w14:textId="7FE703AE" w:rsidR="00E74B80" w:rsidRDefault="00A5700E" w:rsidP="00E74B80">
            <w:pPr>
              <w:rPr>
                <w:lang w:bidi="ar-SA"/>
              </w:rPr>
            </w:pPr>
            <w:r>
              <w:rPr>
                <w:lang w:bidi="ar-SA"/>
              </w:rPr>
              <w:t>One</w:t>
            </w:r>
            <w:r w:rsidR="00E74B80">
              <w:rPr>
                <w:lang w:bidi="ar-SA"/>
              </w:rPr>
              <w:t xml:space="preserve"> sample</w:t>
            </w:r>
          </w:p>
        </w:tc>
      </w:tr>
      <w:tr w:rsidR="00E74B80" w14:paraId="24C9D0CD" w14:textId="77777777" w:rsidTr="00A5700E">
        <w:tc>
          <w:tcPr>
            <w:tcW w:w="1696" w:type="dxa"/>
            <w:tcBorders>
              <w:top w:val="nil"/>
              <w:bottom w:val="nil"/>
            </w:tcBorders>
          </w:tcPr>
          <w:p w14:paraId="7D8AE316" w14:textId="02939B56" w:rsidR="00E74B80" w:rsidRDefault="00E74B80" w:rsidP="00E74B80">
            <w:pPr>
              <w:rPr>
                <w:lang w:bidi="ar-SA"/>
              </w:rPr>
            </w:pPr>
          </w:p>
        </w:tc>
        <w:tc>
          <w:tcPr>
            <w:tcW w:w="2117" w:type="dxa"/>
          </w:tcPr>
          <w:p w14:paraId="5436C717" w14:textId="72D8624F" w:rsidR="00E74B80" w:rsidRPr="005A4E4C" w:rsidRDefault="00E74B80" w:rsidP="00E74B80">
            <w:pPr>
              <w:rPr>
                <w:lang w:bidi="ar-SA"/>
              </w:rPr>
            </w:pPr>
            <w:r w:rsidRPr="005A4E4C">
              <w:rPr>
                <w:lang w:bidi="ar-SA"/>
              </w:rPr>
              <w:t>Aires et al. (2006)</w:t>
            </w:r>
          </w:p>
        </w:tc>
        <w:tc>
          <w:tcPr>
            <w:tcW w:w="1417" w:type="dxa"/>
          </w:tcPr>
          <w:p w14:paraId="5480A02F" w14:textId="20FA827A" w:rsidR="00E74B80" w:rsidRPr="009250B2" w:rsidRDefault="00E74B80" w:rsidP="00E74B80">
            <w:pPr>
              <w:rPr>
                <w:lang w:bidi="ar-SA"/>
              </w:rPr>
            </w:pPr>
            <w:r w:rsidRPr="00E74B80">
              <w:rPr>
                <w:lang w:bidi="ar-SA"/>
              </w:rPr>
              <w:t>Green broccoli</w:t>
            </w:r>
            <w:r>
              <w:rPr>
                <w:lang w:bidi="ar-SA"/>
              </w:rPr>
              <w:t xml:space="preserve"> sprouts</w:t>
            </w:r>
          </w:p>
        </w:tc>
        <w:tc>
          <w:tcPr>
            <w:tcW w:w="1144" w:type="dxa"/>
          </w:tcPr>
          <w:p w14:paraId="658E1B51" w14:textId="08B7892A" w:rsidR="00E74B80" w:rsidRDefault="00E74B80" w:rsidP="00A5700E">
            <w:pPr>
              <w:jc w:val="right"/>
              <w:rPr>
                <w:lang w:bidi="ar-SA"/>
              </w:rPr>
            </w:pPr>
            <w:r>
              <w:rPr>
                <w:lang w:bidi="ar-SA"/>
              </w:rPr>
              <w:t>1</w:t>
            </w:r>
          </w:p>
        </w:tc>
        <w:tc>
          <w:tcPr>
            <w:tcW w:w="1134" w:type="dxa"/>
          </w:tcPr>
          <w:p w14:paraId="17BAD004" w14:textId="0415D7BE" w:rsidR="00E74B80" w:rsidRDefault="00E74B80" w:rsidP="00E74B80">
            <w:pPr>
              <w:rPr>
                <w:lang w:bidi="ar-SA"/>
              </w:rPr>
            </w:pPr>
            <w:r>
              <w:rPr>
                <w:lang w:bidi="ar-SA"/>
              </w:rPr>
              <w:t>No</w:t>
            </w:r>
          </w:p>
        </w:tc>
        <w:tc>
          <w:tcPr>
            <w:tcW w:w="2052" w:type="dxa"/>
          </w:tcPr>
          <w:p w14:paraId="74CAD7E8" w14:textId="629F9C06" w:rsidR="00E74B80" w:rsidRDefault="00A5700E" w:rsidP="00A5700E">
            <w:pPr>
              <w:rPr>
                <w:lang w:bidi="ar-SA"/>
              </w:rPr>
            </w:pPr>
            <w:r>
              <w:rPr>
                <w:lang w:bidi="ar-SA"/>
              </w:rPr>
              <w:t>O</w:t>
            </w:r>
            <w:r w:rsidR="00E74B80">
              <w:rPr>
                <w:lang w:bidi="ar-SA"/>
              </w:rPr>
              <w:t xml:space="preserve">ne sample, unreliable range </w:t>
            </w:r>
          </w:p>
        </w:tc>
      </w:tr>
      <w:tr w:rsidR="00E74B80" w14:paraId="11B10A3C" w14:textId="77777777" w:rsidTr="00A5700E">
        <w:tc>
          <w:tcPr>
            <w:tcW w:w="1696" w:type="dxa"/>
            <w:tcBorders>
              <w:top w:val="nil"/>
              <w:bottom w:val="nil"/>
            </w:tcBorders>
          </w:tcPr>
          <w:p w14:paraId="466F45AA" w14:textId="7D98ECE1" w:rsidR="00E74B80" w:rsidRDefault="00E74B80" w:rsidP="00E74B80">
            <w:pPr>
              <w:rPr>
                <w:lang w:bidi="ar-SA"/>
              </w:rPr>
            </w:pPr>
          </w:p>
        </w:tc>
        <w:tc>
          <w:tcPr>
            <w:tcW w:w="2117" w:type="dxa"/>
          </w:tcPr>
          <w:p w14:paraId="35D073A9" w14:textId="2D1480DE" w:rsidR="00E74B80" w:rsidRPr="005A4E4C" w:rsidRDefault="00E74B80" w:rsidP="005A4E4C">
            <w:pPr>
              <w:rPr>
                <w:lang w:bidi="ar-SA"/>
              </w:rPr>
            </w:pPr>
            <w:r w:rsidRPr="005A4E4C">
              <w:rPr>
                <w:lang w:bidi="ar-SA"/>
              </w:rPr>
              <w:t xml:space="preserve">Schonhof </w:t>
            </w:r>
            <w:r w:rsidR="005A4E4C" w:rsidRPr="005A4E4C">
              <w:rPr>
                <w:lang w:bidi="ar-SA"/>
              </w:rPr>
              <w:t>et</w:t>
            </w:r>
            <w:r w:rsidRPr="005A4E4C">
              <w:rPr>
                <w:lang w:bidi="ar-SA"/>
              </w:rPr>
              <w:t xml:space="preserve"> al. (2004)</w:t>
            </w:r>
          </w:p>
        </w:tc>
        <w:tc>
          <w:tcPr>
            <w:tcW w:w="1417" w:type="dxa"/>
          </w:tcPr>
          <w:p w14:paraId="18F1D943" w14:textId="63749349" w:rsidR="00E74B80" w:rsidRDefault="00E74B80" w:rsidP="00E74B80">
            <w:pPr>
              <w:rPr>
                <w:lang w:bidi="ar-SA"/>
              </w:rPr>
            </w:pPr>
            <w:r w:rsidRPr="009250B2">
              <w:rPr>
                <w:lang w:bidi="ar-SA"/>
              </w:rPr>
              <w:t>Green cauliflower</w:t>
            </w:r>
          </w:p>
        </w:tc>
        <w:tc>
          <w:tcPr>
            <w:tcW w:w="1144" w:type="dxa"/>
          </w:tcPr>
          <w:p w14:paraId="1128A207" w14:textId="3DB916CE" w:rsidR="00E74B80" w:rsidRDefault="00E74B80" w:rsidP="00A5700E">
            <w:pPr>
              <w:jc w:val="right"/>
              <w:rPr>
                <w:lang w:bidi="ar-SA"/>
              </w:rPr>
            </w:pPr>
            <w:r>
              <w:rPr>
                <w:lang w:bidi="ar-SA"/>
              </w:rPr>
              <w:t>2</w:t>
            </w:r>
          </w:p>
        </w:tc>
        <w:tc>
          <w:tcPr>
            <w:tcW w:w="1134" w:type="dxa"/>
          </w:tcPr>
          <w:p w14:paraId="5EDCB358" w14:textId="0E54DCB7" w:rsidR="00E74B80" w:rsidRDefault="00E74B80" w:rsidP="00E74B80">
            <w:pPr>
              <w:rPr>
                <w:lang w:bidi="ar-SA"/>
              </w:rPr>
            </w:pPr>
            <w:r>
              <w:rPr>
                <w:lang w:bidi="ar-SA"/>
              </w:rPr>
              <w:t>No</w:t>
            </w:r>
          </w:p>
        </w:tc>
        <w:tc>
          <w:tcPr>
            <w:tcW w:w="2052" w:type="dxa"/>
          </w:tcPr>
          <w:p w14:paraId="53D917C6" w14:textId="3429A367" w:rsidR="00E74B80" w:rsidRDefault="00113378" w:rsidP="00A5700E">
            <w:pPr>
              <w:rPr>
                <w:lang w:bidi="ar-SA"/>
              </w:rPr>
            </w:pPr>
            <w:r>
              <w:rPr>
                <w:lang w:bidi="ar-SA"/>
              </w:rPr>
              <w:t>Low value</w:t>
            </w:r>
            <w:r w:rsidR="00A5700E">
              <w:rPr>
                <w:lang w:bidi="ar-SA"/>
              </w:rPr>
              <w:t>, not worst case</w:t>
            </w:r>
          </w:p>
        </w:tc>
      </w:tr>
      <w:tr w:rsidR="00113378" w14:paraId="4DE40F32" w14:textId="77777777" w:rsidTr="00A5700E">
        <w:tc>
          <w:tcPr>
            <w:tcW w:w="1696" w:type="dxa"/>
            <w:tcBorders>
              <w:top w:val="nil"/>
              <w:bottom w:val="single" w:sz="4" w:space="0" w:color="000000"/>
            </w:tcBorders>
          </w:tcPr>
          <w:p w14:paraId="75E785D2" w14:textId="77777777" w:rsidR="00113378" w:rsidRDefault="00113378" w:rsidP="00113378">
            <w:pPr>
              <w:rPr>
                <w:lang w:bidi="ar-SA"/>
              </w:rPr>
            </w:pPr>
          </w:p>
        </w:tc>
        <w:tc>
          <w:tcPr>
            <w:tcW w:w="2117" w:type="dxa"/>
          </w:tcPr>
          <w:p w14:paraId="4E05CEA9" w14:textId="71360D89" w:rsidR="00113378" w:rsidRPr="005A4E4C" w:rsidRDefault="00113378" w:rsidP="005A4E4C">
            <w:pPr>
              <w:rPr>
                <w:lang w:bidi="ar-SA"/>
              </w:rPr>
            </w:pPr>
            <w:r w:rsidRPr="005A4E4C">
              <w:rPr>
                <w:lang w:bidi="ar-SA"/>
              </w:rPr>
              <w:t>Kushad et al. (1999)</w:t>
            </w:r>
          </w:p>
        </w:tc>
        <w:tc>
          <w:tcPr>
            <w:tcW w:w="1417" w:type="dxa"/>
          </w:tcPr>
          <w:p w14:paraId="4FD60F85" w14:textId="1A114D08" w:rsidR="00113378" w:rsidRPr="009250B2" w:rsidRDefault="00113378" w:rsidP="00113378">
            <w:pPr>
              <w:rPr>
                <w:lang w:bidi="ar-SA"/>
              </w:rPr>
            </w:pPr>
            <w:r w:rsidRPr="00E74B80">
              <w:rPr>
                <w:lang w:bidi="ar-SA"/>
              </w:rPr>
              <w:t>White cauliflower</w:t>
            </w:r>
          </w:p>
        </w:tc>
        <w:tc>
          <w:tcPr>
            <w:tcW w:w="1144" w:type="dxa"/>
          </w:tcPr>
          <w:p w14:paraId="621E5142" w14:textId="3FEAEF33" w:rsidR="00113378" w:rsidRDefault="00113378" w:rsidP="00A5700E">
            <w:pPr>
              <w:jc w:val="right"/>
              <w:rPr>
                <w:lang w:bidi="ar-SA"/>
              </w:rPr>
            </w:pPr>
            <w:r>
              <w:rPr>
                <w:lang w:bidi="ar-SA"/>
              </w:rPr>
              <w:t>3</w:t>
            </w:r>
          </w:p>
        </w:tc>
        <w:tc>
          <w:tcPr>
            <w:tcW w:w="1134" w:type="dxa"/>
          </w:tcPr>
          <w:p w14:paraId="4020390D" w14:textId="34477231" w:rsidR="00113378" w:rsidRDefault="00113378" w:rsidP="00113378">
            <w:pPr>
              <w:rPr>
                <w:lang w:bidi="ar-SA"/>
              </w:rPr>
            </w:pPr>
            <w:r>
              <w:rPr>
                <w:lang w:bidi="ar-SA"/>
              </w:rPr>
              <w:t>No</w:t>
            </w:r>
          </w:p>
        </w:tc>
        <w:tc>
          <w:tcPr>
            <w:tcW w:w="2052" w:type="dxa"/>
          </w:tcPr>
          <w:p w14:paraId="2F398D07" w14:textId="41DBABCD" w:rsidR="00113378" w:rsidRPr="009250B2" w:rsidRDefault="00113378" w:rsidP="00A5700E">
            <w:pPr>
              <w:rPr>
                <w:lang w:bidi="ar-SA"/>
              </w:rPr>
            </w:pPr>
            <w:r>
              <w:rPr>
                <w:lang w:bidi="ar-SA"/>
              </w:rPr>
              <w:t>Low value</w:t>
            </w:r>
            <w:r w:rsidR="00A5700E">
              <w:rPr>
                <w:lang w:bidi="ar-SA"/>
              </w:rPr>
              <w:t>, not worst case</w:t>
            </w:r>
          </w:p>
        </w:tc>
      </w:tr>
      <w:tr w:rsidR="00113378" w14:paraId="5844F6AF" w14:textId="77777777" w:rsidTr="00A5700E">
        <w:tc>
          <w:tcPr>
            <w:tcW w:w="1696" w:type="dxa"/>
            <w:tcBorders>
              <w:bottom w:val="nil"/>
            </w:tcBorders>
          </w:tcPr>
          <w:p w14:paraId="2F129179" w14:textId="0F172826" w:rsidR="00113378" w:rsidRDefault="00113378" w:rsidP="00113378">
            <w:pPr>
              <w:rPr>
                <w:lang w:bidi="ar-SA"/>
              </w:rPr>
            </w:pPr>
          </w:p>
        </w:tc>
        <w:tc>
          <w:tcPr>
            <w:tcW w:w="2117" w:type="dxa"/>
          </w:tcPr>
          <w:p w14:paraId="76638B6C" w14:textId="7D2BD19C" w:rsidR="00113378" w:rsidRDefault="00113378" w:rsidP="00113378">
            <w:pPr>
              <w:rPr>
                <w:lang w:bidi="ar-SA"/>
              </w:rPr>
            </w:pPr>
            <w:r w:rsidRPr="009250B2">
              <w:rPr>
                <w:lang w:bidi="ar-SA"/>
              </w:rPr>
              <w:t xml:space="preserve">Schonhof </w:t>
            </w:r>
            <w:r w:rsidRPr="009250B2">
              <w:rPr>
                <w:i/>
                <w:lang w:bidi="ar-SA"/>
              </w:rPr>
              <w:t>et al</w:t>
            </w:r>
            <w:r w:rsidRPr="009250B2">
              <w:rPr>
                <w:lang w:bidi="ar-SA"/>
              </w:rPr>
              <w:t>. (2004)</w:t>
            </w:r>
          </w:p>
        </w:tc>
        <w:tc>
          <w:tcPr>
            <w:tcW w:w="1417" w:type="dxa"/>
          </w:tcPr>
          <w:p w14:paraId="63E89E7A" w14:textId="4CE23E6C" w:rsidR="00113378" w:rsidRPr="009250B2" w:rsidRDefault="00113378" w:rsidP="00113378">
            <w:pPr>
              <w:rPr>
                <w:lang w:bidi="ar-SA"/>
              </w:rPr>
            </w:pPr>
            <w:r w:rsidRPr="009250B2">
              <w:rPr>
                <w:lang w:bidi="ar-SA"/>
              </w:rPr>
              <w:t>Green cauliflower</w:t>
            </w:r>
          </w:p>
        </w:tc>
        <w:tc>
          <w:tcPr>
            <w:tcW w:w="1144" w:type="dxa"/>
          </w:tcPr>
          <w:p w14:paraId="6E148C0E" w14:textId="5EAA862A" w:rsidR="00113378" w:rsidRDefault="00113378" w:rsidP="00A5700E">
            <w:pPr>
              <w:jc w:val="right"/>
              <w:rPr>
                <w:lang w:bidi="ar-SA"/>
              </w:rPr>
            </w:pPr>
            <w:r>
              <w:rPr>
                <w:lang w:bidi="ar-SA"/>
              </w:rPr>
              <w:t>1</w:t>
            </w:r>
          </w:p>
        </w:tc>
        <w:tc>
          <w:tcPr>
            <w:tcW w:w="1134" w:type="dxa"/>
          </w:tcPr>
          <w:p w14:paraId="254DD7D8" w14:textId="4EE9D3EC" w:rsidR="00113378" w:rsidRDefault="00113378" w:rsidP="00113378">
            <w:pPr>
              <w:rPr>
                <w:lang w:bidi="ar-SA"/>
              </w:rPr>
            </w:pPr>
            <w:r>
              <w:rPr>
                <w:lang w:bidi="ar-SA"/>
              </w:rPr>
              <w:t>No</w:t>
            </w:r>
          </w:p>
        </w:tc>
        <w:tc>
          <w:tcPr>
            <w:tcW w:w="2052" w:type="dxa"/>
          </w:tcPr>
          <w:p w14:paraId="365E3C88" w14:textId="2A379EDA" w:rsidR="00113378" w:rsidRPr="009250B2" w:rsidRDefault="00A5700E" w:rsidP="00113378">
            <w:pPr>
              <w:rPr>
                <w:lang w:bidi="ar-SA"/>
              </w:rPr>
            </w:pPr>
            <w:r>
              <w:rPr>
                <w:lang w:bidi="ar-SA"/>
              </w:rPr>
              <w:t>One</w:t>
            </w:r>
            <w:r w:rsidR="00113378" w:rsidRPr="009250B2">
              <w:rPr>
                <w:lang w:bidi="ar-SA"/>
              </w:rPr>
              <w:t xml:space="preserve"> sample</w:t>
            </w:r>
            <w:r w:rsidR="00113378">
              <w:rPr>
                <w:lang w:bidi="ar-SA"/>
              </w:rPr>
              <w:t xml:space="preserve">, low </w:t>
            </w:r>
            <w:r>
              <w:rPr>
                <w:lang w:bidi="ar-SA"/>
              </w:rPr>
              <w:t>value, not worst case</w:t>
            </w:r>
          </w:p>
        </w:tc>
      </w:tr>
      <w:tr w:rsidR="0096773E" w14:paraId="6871DF30" w14:textId="77777777" w:rsidTr="00A5700E">
        <w:tc>
          <w:tcPr>
            <w:tcW w:w="1696" w:type="dxa"/>
            <w:tcBorders>
              <w:top w:val="nil"/>
              <w:bottom w:val="nil"/>
            </w:tcBorders>
          </w:tcPr>
          <w:p w14:paraId="2ABF0FF6" w14:textId="77777777" w:rsidR="0096773E" w:rsidRDefault="0096773E" w:rsidP="00113378">
            <w:pPr>
              <w:rPr>
                <w:lang w:bidi="ar-SA"/>
              </w:rPr>
            </w:pPr>
          </w:p>
        </w:tc>
        <w:tc>
          <w:tcPr>
            <w:tcW w:w="2117" w:type="dxa"/>
          </w:tcPr>
          <w:p w14:paraId="7ED41573" w14:textId="726FE165" w:rsidR="0096773E" w:rsidRPr="005A4E4C" w:rsidRDefault="0096773E" w:rsidP="00113378">
            <w:pPr>
              <w:rPr>
                <w:lang w:bidi="ar-SA"/>
              </w:rPr>
            </w:pPr>
            <w:r w:rsidRPr="005A4E4C">
              <w:rPr>
                <w:lang w:bidi="ar-SA"/>
              </w:rPr>
              <w:t>CFSAN/Office of Food Additive Safety 2010 GRN 00327</w:t>
            </w:r>
          </w:p>
        </w:tc>
        <w:tc>
          <w:tcPr>
            <w:tcW w:w="1417" w:type="dxa"/>
          </w:tcPr>
          <w:p w14:paraId="2947C8C0" w14:textId="219B3E0F" w:rsidR="0096773E" w:rsidRPr="009250B2" w:rsidRDefault="0096773E" w:rsidP="00113378">
            <w:pPr>
              <w:rPr>
                <w:lang w:bidi="ar-SA"/>
              </w:rPr>
            </w:pPr>
            <w:r w:rsidRPr="0096773E">
              <w:rPr>
                <w:lang w:bidi="ar-SA"/>
              </w:rPr>
              <w:t>Cauliflower</w:t>
            </w:r>
          </w:p>
        </w:tc>
        <w:tc>
          <w:tcPr>
            <w:tcW w:w="1144" w:type="dxa"/>
          </w:tcPr>
          <w:p w14:paraId="41ED3DD9" w14:textId="544F053C" w:rsidR="0096773E" w:rsidRDefault="0096773E" w:rsidP="00A5700E">
            <w:pPr>
              <w:jc w:val="right"/>
              <w:rPr>
                <w:lang w:bidi="ar-SA"/>
              </w:rPr>
            </w:pPr>
            <w:r>
              <w:rPr>
                <w:lang w:bidi="ar-SA"/>
              </w:rPr>
              <w:t>NS</w:t>
            </w:r>
          </w:p>
        </w:tc>
        <w:tc>
          <w:tcPr>
            <w:tcW w:w="1134" w:type="dxa"/>
          </w:tcPr>
          <w:p w14:paraId="456A8E57" w14:textId="248A4DF1" w:rsidR="0096773E" w:rsidRDefault="0096773E" w:rsidP="00113378">
            <w:pPr>
              <w:rPr>
                <w:lang w:bidi="ar-SA"/>
              </w:rPr>
            </w:pPr>
            <w:r>
              <w:rPr>
                <w:lang w:bidi="ar-SA"/>
              </w:rPr>
              <w:t>No</w:t>
            </w:r>
          </w:p>
        </w:tc>
        <w:tc>
          <w:tcPr>
            <w:tcW w:w="2052" w:type="dxa"/>
          </w:tcPr>
          <w:p w14:paraId="23E377A6" w14:textId="558393F4" w:rsidR="0096773E" w:rsidRPr="009250B2" w:rsidRDefault="0096773E" w:rsidP="00113378">
            <w:pPr>
              <w:rPr>
                <w:lang w:bidi="ar-SA"/>
              </w:rPr>
            </w:pPr>
            <w:r>
              <w:rPr>
                <w:lang w:bidi="ar-SA"/>
              </w:rPr>
              <w:t>Unknown number</w:t>
            </w:r>
            <w:r w:rsidRPr="0096773E">
              <w:rPr>
                <w:lang w:bidi="ar-SA"/>
              </w:rPr>
              <w:t xml:space="preserve"> of samples</w:t>
            </w:r>
          </w:p>
        </w:tc>
      </w:tr>
      <w:tr w:rsidR="00113378" w14:paraId="7D2F024F" w14:textId="77777777" w:rsidTr="00A5700E">
        <w:tc>
          <w:tcPr>
            <w:tcW w:w="1696" w:type="dxa"/>
            <w:tcBorders>
              <w:top w:val="nil"/>
              <w:bottom w:val="nil"/>
            </w:tcBorders>
          </w:tcPr>
          <w:p w14:paraId="4FE26A80" w14:textId="737700FD" w:rsidR="00113378" w:rsidRDefault="00113378" w:rsidP="00113378">
            <w:pPr>
              <w:rPr>
                <w:lang w:bidi="ar-SA"/>
              </w:rPr>
            </w:pPr>
          </w:p>
        </w:tc>
        <w:tc>
          <w:tcPr>
            <w:tcW w:w="2117" w:type="dxa"/>
          </w:tcPr>
          <w:p w14:paraId="3C1C8E03" w14:textId="1B2038DB" w:rsidR="00113378" w:rsidRPr="005A4E4C" w:rsidRDefault="00113378" w:rsidP="00113378">
            <w:pPr>
              <w:rPr>
                <w:lang w:bidi="ar-SA"/>
              </w:rPr>
            </w:pPr>
            <w:r w:rsidRPr="005A4E4C">
              <w:rPr>
                <w:lang w:bidi="ar-SA"/>
              </w:rPr>
              <w:t>Herrmann et al. (1999)</w:t>
            </w:r>
          </w:p>
        </w:tc>
        <w:tc>
          <w:tcPr>
            <w:tcW w:w="1417" w:type="dxa"/>
          </w:tcPr>
          <w:p w14:paraId="2E80D6F1" w14:textId="7032EA85" w:rsidR="00113378" w:rsidRDefault="00113378" w:rsidP="00113378">
            <w:pPr>
              <w:rPr>
                <w:lang w:bidi="ar-SA"/>
              </w:rPr>
            </w:pPr>
            <w:r w:rsidRPr="009250B2">
              <w:rPr>
                <w:lang w:bidi="ar-SA"/>
              </w:rPr>
              <w:t>Chinese cabbage</w:t>
            </w:r>
            <w:r>
              <w:rPr>
                <w:lang w:bidi="ar-SA"/>
              </w:rPr>
              <w:t xml:space="preserve"> (total)</w:t>
            </w:r>
          </w:p>
        </w:tc>
        <w:tc>
          <w:tcPr>
            <w:tcW w:w="1144" w:type="dxa"/>
          </w:tcPr>
          <w:p w14:paraId="1FC2AAD4" w14:textId="6F1CD418" w:rsidR="00113378" w:rsidRDefault="00113378" w:rsidP="00A5700E">
            <w:pPr>
              <w:jc w:val="right"/>
              <w:rPr>
                <w:lang w:bidi="ar-SA"/>
              </w:rPr>
            </w:pPr>
            <w:r>
              <w:rPr>
                <w:lang w:bidi="ar-SA"/>
              </w:rPr>
              <w:t>19</w:t>
            </w:r>
          </w:p>
        </w:tc>
        <w:tc>
          <w:tcPr>
            <w:tcW w:w="1134" w:type="dxa"/>
          </w:tcPr>
          <w:p w14:paraId="0A20413D" w14:textId="09B1A73D" w:rsidR="00113378" w:rsidRDefault="00113378" w:rsidP="00113378">
            <w:pPr>
              <w:rPr>
                <w:lang w:bidi="ar-SA"/>
              </w:rPr>
            </w:pPr>
            <w:r>
              <w:rPr>
                <w:lang w:bidi="ar-SA"/>
              </w:rPr>
              <w:t>No</w:t>
            </w:r>
          </w:p>
        </w:tc>
        <w:tc>
          <w:tcPr>
            <w:tcW w:w="2052" w:type="dxa"/>
          </w:tcPr>
          <w:p w14:paraId="127379CF" w14:textId="4B6D0F39" w:rsidR="00113378" w:rsidRDefault="00A5700E" w:rsidP="00113378">
            <w:pPr>
              <w:rPr>
                <w:lang w:bidi="ar-SA"/>
              </w:rPr>
            </w:pPr>
            <w:r>
              <w:rPr>
                <w:lang w:bidi="ar-SA"/>
              </w:rPr>
              <w:t>C</w:t>
            </w:r>
            <w:r w:rsidR="00113378" w:rsidRPr="009250B2">
              <w:rPr>
                <w:lang w:bidi="ar-SA"/>
              </w:rPr>
              <w:t>omparable low conc. values</w:t>
            </w:r>
            <w:r>
              <w:rPr>
                <w:lang w:bidi="ar-SA"/>
              </w:rPr>
              <w:t>, not worst case</w:t>
            </w:r>
          </w:p>
        </w:tc>
      </w:tr>
      <w:tr w:rsidR="00113378" w14:paraId="6BBD6D24" w14:textId="77777777" w:rsidTr="00A5700E">
        <w:tc>
          <w:tcPr>
            <w:tcW w:w="1696" w:type="dxa"/>
            <w:tcBorders>
              <w:top w:val="nil"/>
              <w:bottom w:val="nil"/>
            </w:tcBorders>
          </w:tcPr>
          <w:p w14:paraId="63AB37FE" w14:textId="0EAFBA2C" w:rsidR="00113378" w:rsidRDefault="00113378" w:rsidP="00113378">
            <w:pPr>
              <w:rPr>
                <w:lang w:bidi="ar-SA"/>
              </w:rPr>
            </w:pPr>
          </w:p>
        </w:tc>
        <w:tc>
          <w:tcPr>
            <w:tcW w:w="2117" w:type="dxa"/>
          </w:tcPr>
          <w:p w14:paraId="3A900269" w14:textId="4A893657" w:rsidR="00113378" w:rsidRPr="005A4E4C" w:rsidRDefault="00113378" w:rsidP="00113378">
            <w:pPr>
              <w:rPr>
                <w:lang w:bidi="ar-SA"/>
              </w:rPr>
            </w:pPr>
            <w:r w:rsidRPr="005A4E4C">
              <w:rPr>
                <w:lang w:bidi="ar-SA"/>
              </w:rPr>
              <w:t>Ciska et al. (2000)</w:t>
            </w:r>
          </w:p>
        </w:tc>
        <w:tc>
          <w:tcPr>
            <w:tcW w:w="1417" w:type="dxa"/>
          </w:tcPr>
          <w:p w14:paraId="41B948A4" w14:textId="13536E62" w:rsidR="00113378" w:rsidRDefault="00113378" w:rsidP="00113378">
            <w:pPr>
              <w:rPr>
                <w:lang w:bidi="ar-SA"/>
              </w:rPr>
            </w:pPr>
            <w:r w:rsidRPr="009250B2">
              <w:rPr>
                <w:lang w:bidi="ar-SA"/>
              </w:rPr>
              <w:t>White cabbage</w:t>
            </w:r>
          </w:p>
        </w:tc>
        <w:tc>
          <w:tcPr>
            <w:tcW w:w="1144" w:type="dxa"/>
          </w:tcPr>
          <w:p w14:paraId="7C2494E4" w14:textId="4A223A03" w:rsidR="00113378" w:rsidRDefault="00113378" w:rsidP="00A5700E">
            <w:pPr>
              <w:jc w:val="right"/>
              <w:rPr>
                <w:lang w:bidi="ar-SA"/>
              </w:rPr>
            </w:pPr>
            <w:r>
              <w:rPr>
                <w:lang w:bidi="ar-SA"/>
              </w:rPr>
              <w:t>1</w:t>
            </w:r>
          </w:p>
        </w:tc>
        <w:tc>
          <w:tcPr>
            <w:tcW w:w="1134" w:type="dxa"/>
          </w:tcPr>
          <w:p w14:paraId="2270DC73" w14:textId="727BF6B0" w:rsidR="00113378" w:rsidRDefault="00113378" w:rsidP="00113378">
            <w:pPr>
              <w:rPr>
                <w:lang w:bidi="ar-SA"/>
              </w:rPr>
            </w:pPr>
            <w:r>
              <w:rPr>
                <w:lang w:bidi="ar-SA"/>
              </w:rPr>
              <w:t>No</w:t>
            </w:r>
          </w:p>
        </w:tc>
        <w:tc>
          <w:tcPr>
            <w:tcW w:w="2052" w:type="dxa"/>
          </w:tcPr>
          <w:p w14:paraId="5EC5F7B9" w14:textId="3B317DFF" w:rsidR="00113378" w:rsidRDefault="00A5700E" w:rsidP="00113378">
            <w:pPr>
              <w:rPr>
                <w:lang w:bidi="ar-SA"/>
              </w:rPr>
            </w:pPr>
            <w:r>
              <w:rPr>
                <w:lang w:bidi="ar-SA"/>
              </w:rPr>
              <w:t>One</w:t>
            </w:r>
            <w:r w:rsidR="00113378" w:rsidRPr="009250B2">
              <w:rPr>
                <w:lang w:bidi="ar-SA"/>
              </w:rPr>
              <w:t xml:space="preserve"> sample</w:t>
            </w:r>
          </w:p>
        </w:tc>
      </w:tr>
      <w:tr w:rsidR="00113378" w14:paraId="7F72A0C6" w14:textId="77777777" w:rsidTr="00A5700E">
        <w:tc>
          <w:tcPr>
            <w:tcW w:w="1696" w:type="dxa"/>
            <w:tcBorders>
              <w:top w:val="nil"/>
              <w:bottom w:val="nil"/>
            </w:tcBorders>
          </w:tcPr>
          <w:p w14:paraId="6F8DC15E" w14:textId="3EDCC344" w:rsidR="00113378" w:rsidRDefault="00113378" w:rsidP="00113378">
            <w:pPr>
              <w:rPr>
                <w:lang w:bidi="ar-SA"/>
              </w:rPr>
            </w:pPr>
          </w:p>
        </w:tc>
        <w:tc>
          <w:tcPr>
            <w:tcW w:w="2117" w:type="dxa"/>
          </w:tcPr>
          <w:p w14:paraId="2C402784" w14:textId="62F7D889" w:rsidR="00113378" w:rsidRPr="005A4E4C" w:rsidRDefault="00113378" w:rsidP="00113378">
            <w:pPr>
              <w:rPr>
                <w:lang w:bidi="ar-SA"/>
              </w:rPr>
            </w:pPr>
            <w:r w:rsidRPr="005A4E4C">
              <w:rPr>
                <w:lang w:bidi="ar-SA"/>
              </w:rPr>
              <w:t>Ciska et al. (2000)</w:t>
            </w:r>
          </w:p>
        </w:tc>
        <w:tc>
          <w:tcPr>
            <w:tcW w:w="1417" w:type="dxa"/>
          </w:tcPr>
          <w:p w14:paraId="3438C0CE" w14:textId="5ED68BFF" w:rsidR="00113378" w:rsidRPr="009F4A78" w:rsidRDefault="00113378" w:rsidP="00113378">
            <w:pPr>
              <w:rPr>
                <w:lang w:bidi="ar-SA"/>
              </w:rPr>
            </w:pPr>
            <w:r w:rsidRPr="00E84D2E">
              <w:rPr>
                <w:lang w:bidi="ar-SA"/>
              </w:rPr>
              <w:t>Red cabbage</w:t>
            </w:r>
          </w:p>
        </w:tc>
        <w:tc>
          <w:tcPr>
            <w:tcW w:w="1144" w:type="dxa"/>
          </w:tcPr>
          <w:p w14:paraId="00496E1D" w14:textId="2B8E7255" w:rsidR="00113378" w:rsidRDefault="00113378" w:rsidP="00A5700E">
            <w:pPr>
              <w:jc w:val="right"/>
              <w:rPr>
                <w:lang w:bidi="ar-SA"/>
              </w:rPr>
            </w:pPr>
            <w:r>
              <w:rPr>
                <w:lang w:bidi="ar-SA"/>
              </w:rPr>
              <w:t>1</w:t>
            </w:r>
          </w:p>
        </w:tc>
        <w:tc>
          <w:tcPr>
            <w:tcW w:w="1134" w:type="dxa"/>
          </w:tcPr>
          <w:p w14:paraId="1C1208C2" w14:textId="12C4EF0A" w:rsidR="00113378" w:rsidRDefault="00113378" w:rsidP="00113378">
            <w:pPr>
              <w:rPr>
                <w:lang w:bidi="ar-SA"/>
              </w:rPr>
            </w:pPr>
            <w:r>
              <w:rPr>
                <w:lang w:bidi="ar-SA"/>
              </w:rPr>
              <w:t>No</w:t>
            </w:r>
          </w:p>
        </w:tc>
        <w:tc>
          <w:tcPr>
            <w:tcW w:w="2052" w:type="dxa"/>
          </w:tcPr>
          <w:p w14:paraId="7AE6B31F" w14:textId="17895336" w:rsidR="00113378" w:rsidRDefault="00A5700E" w:rsidP="00113378">
            <w:pPr>
              <w:rPr>
                <w:lang w:bidi="ar-SA"/>
              </w:rPr>
            </w:pPr>
            <w:r>
              <w:rPr>
                <w:lang w:bidi="ar-SA"/>
              </w:rPr>
              <w:t>One</w:t>
            </w:r>
            <w:r w:rsidR="00113378" w:rsidRPr="009250B2">
              <w:rPr>
                <w:lang w:bidi="ar-SA"/>
              </w:rPr>
              <w:t xml:space="preserve"> sample</w:t>
            </w:r>
          </w:p>
        </w:tc>
      </w:tr>
      <w:tr w:rsidR="00113378" w14:paraId="69EDE096" w14:textId="77777777" w:rsidTr="00A5700E">
        <w:tc>
          <w:tcPr>
            <w:tcW w:w="1696" w:type="dxa"/>
            <w:tcBorders>
              <w:top w:val="nil"/>
              <w:bottom w:val="nil"/>
            </w:tcBorders>
          </w:tcPr>
          <w:p w14:paraId="44164C9B" w14:textId="4FF47753" w:rsidR="00113378" w:rsidRDefault="00113378" w:rsidP="00113378">
            <w:pPr>
              <w:rPr>
                <w:lang w:bidi="ar-SA"/>
              </w:rPr>
            </w:pPr>
          </w:p>
        </w:tc>
        <w:tc>
          <w:tcPr>
            <w:tcW w:w="2117" w:type="dxa"/>
          </w:tcPr>
          <w:p w14:paraId="26859C85" w14:textId="5E54837C" w:rsidR="00113378" w:rsidRPr="005A4E4C" w:rsidRDefault="00113378" w:rsidP="005A4E4C">
            <w:pPr>
              <w:rPr>
                <w:lang w:bidi="ar-SA"/>
              </w:rPr>
            </w:pPr>
            <w:r w:rsidRPr="005A4E4C">
              <w:rPr>
                <w:lang w:bidi="ar-SA"/>
              </w:rPr>
              <w:t>Ciska et al. (2000)</w:t>
            </w:r>
          </w:p>
        </w:tc>
        <w:tc>
          <w:tcPr>
            <w:tcW w:w="1417" w:type="dxa"/>
          </w:tcPr>
          <w:p w14:paraId="6ED2555B" w14:textId="2C61ED08" w:rsidR="00113378" w:rsidRPr="00E84D2E" w:rsidRDefault="00113378" w:rsidP="00113378">
            <w:pPr>
              <w:rPr>
                <w:lang w:bidi="ar-SA"/>
              </w:rPr>
            </w:pPr>
            <w:r w:rsidRPr="00E84D2E">
              <w:rPr>
                <w:lang w:bidi="ar-SA"/>
              </w:rPr>
              <w:t>Savoy cabbage</w:t>
            </w:r>
          </w:p>
        </w:tc>
        <w:tc>
          <w:tcPr>
            <w:tcW w:w="1144" w:type="dxa"/>
          </w:tcPr>
          <w:p w14:paraId="1621895C" w14:textId="4369C4C0" w:rsidR="00113378" w:rsidRDefault="00113378" w:rsidP="00A5700E">
            <w:pPr>
              <w:jc w:val="right"/>
              <w:rPr>
                <w:lang w:bidi="ar-SA"/>
              </w:rPr>
            </w:pPr>
            <w:r>
              <w:rPr>
                <w:lang w:bidi="ar-SA"/>
              </w:rPr>
              <w:t>1</w:t>
            </w:r>
          </w:p>
        </w:tc>
        <w:tc>
          <w:tcPr>
            <w:tcW w:w="1134" w:type="dxa"/>
          </w:tcPr>
          <w:p w14:paraId="1F9F474B" w14:textId="4BADC20E" w:rsidR="00113378" w:rsidRDefault="00113378" w:rsidP="00113378">
            <w:pPr>
              <w:rPr>
                <w:lang w:bidi="ar-SA"/>
              </w:rPr>
            </w:pPr>
            <w:r>
              <w:rPr>
                <w:lang w:bidi="ar-SA"/>
              </w:rPr>
              <w:t>No</w:t>
            </w:r>
          </w:p>
        </w:tc>
        <w:tc>
          <w:tcPr>
            <w:tcW w:w="2052" w:type="dxa"/>
          </w:tcPr>
          <w:p w14:paraId="3C7EDCEA" w14:textId="6643ECE4" w:rsidR="00113378" w:rsidRPr="009250B2" w:rsidRDefault="00A5700E" w:rsidP="00113378">
            <w:pPr>
              <w:rPr>
                <w:lang w:bidi="ar-SA"/>
              </w:rPr>
            </w:pPr>
            <w:r>
              <w:rPr>
                <w:lang w:bidi="ar-SA"/>
              </w:rPr>
              <w:t>One</w:t>
            </w:r>
            <w:r w:rsidR="00113378" w:rsidRPr="009250B2">
              <w:rPr>
                <w:lang w:bidi="ar-SA"/>
              </w:rPr>
              <w:t xml:space="preserve"> sample</w:t>
            </w:r>
          </w:p>
        </w:tc>
      </w:tr>
      <w:tr w:rsidR="00113378" w14:paraId="045CDE63" w14:textId="77777777" w:rsidTr="00A5700E">
        <w:tc>
          <w:tcPr>
            <w:tcW w:w="1696" w:type="dxa"/>
            <w:tcBorders>
              <w:top w:val="nil"/>
              <w:bottom w:val="nil"/>
            </w:tcBorders>
          </w:tcPr>
          <w:p w14:paraId="5D10DE5C" w14:textId="4E1E905F" w:rsidR="00113378" w:rsidRDefault="00113378" w:rsidP="00113378">
            <w:pPr>
              <w:rPr>
                <w:lang w:bidi="ar-SA"/>
              </w:rPr>
            </w:pPr>
          </w:p>
        </w:tc>
        <w:tc>
          <w:tcPr>
            <w:tcW w:w="2117" w:type="dxa"/>
          </w:tcPr>
          <w:p w14:paraId="6B2F58FE" w14:textId="2A53ED9A" w:rsidR="00113378" w:rsidRPr="005A4E4C" w:rsidRDefault="00113378" w:rsidP="00113378">
            <w:pPr>
              <w:rPr>
                <w:lang w:bidi="ar-SA"/>
              </w:rPr>
            </w:pPr>
            <w:r w:rsidRPr="005A4E4C">
              <w:rPr>
                <w:lang w:bidi="ar-SA"/>
              </w:rPr>
              <w:t>Yang &amp; Quiros (2010)</w:t>
            </w:r>
          </w:p>
        </w:tc>
        <w:tc>
          <w:tcPr>
            <w:tcW w:w="1417" w:type="dxa"/>
          </w:tcPr>
          <w:p w14:paraId="127605DB" w14:textId="156AD264" w:rsidR="00113378" w:rsidRDefault="00113378" w:rsidP="00113378">
            <w:pPr>
              <w:rPr>
                <w:lang w:bidi="ar-SA"/>
              </w:rPr>
            </w:pPr>
            <w:r w:rsidRPr="009F4A78">
              <w:rPr>
                <w:lang w:bidi="ar-SA"/>
              </w:rPr>
              <w:t>Chinese cabbage</w:t>
            </w:r>
            <w:r>
              <w:rPr>
                <w:lang w:bidi="ar-SA"/>
              </w:rPr>
              <w:t xml:space="preserve"> young leaves</w:t>
            </w:r>
          </w:p>
        </w:tc>
        <w:tc>
          <w:tcPr>
            <w:tcW w:w="1144" w:type="dxa"/>
          </w:tcPr>
          <w:p w14:paraId="54CB6685" w14:textId="33015984" w:rsidR="00113378" w:rsidRDefault="00113378" w:rsidP="00A5700E">
            <w:pPr>
              <w:jc w:val="right"/>
              <w:rPr>
                <w:lang w:bidi="ar-SA"/>
              </w:rPr>
            </w:pPr>
            <w:r>
              <w:rPr>
                <w:lang w:bidi="ar-SA"/>
              </w:rPr>
              <w:t>39</w:t>
            </w:r>
          </w:p>
        </w:tc>
        <w:tc>
          <w:tcPr>
            <w:tcW w:w="1134" w:type="dxa"/>
          </w:tcPr>
          <w:p w14:paraId="1A28CC7E" w14:textId="2BCCA6BC" w:rsidR="00113378" w:rsidRDefault="00113378" w:rsidP="00113378">
            <w:pPr>
              <w:rPr>
                <w:lang w:bidi="ar-SA"/>
              </w:rPr>
            </w:pPr>
            <w:r>
              <w:rPr>
                <w:lang w:bidi="ar-SA"/>
              </w:rPr>
              <w:t>No</w:t>
            </w:r>
          </w:p>
        </w:tc>
        <w:tc>
          <w:tcPr>
            <w:tcW w:w="2052" w:type="dxa"/>
          </w:tcPr>
          <w:p w14:paraId="2A39BEE3" w14:textId="6F7A9166" w:rsidR="00113378" w:rsidRDefault="00113378" w:rsidP="00A5700E">
            <w:pPr>
              <w:rPr>
                <w:lang w:bidi="ar-SA"/>
              </w:rPr>
            </w:pPr>
            <w:r>
              <w:rPr>
                <w:lang w:bidi="ar-SA"/>
              </w:rPr>
              <w:t>Low value</w:t>
            </w:r>
            <w:r w:rsidR="00A5700E">
              <w:rPr>
                <w:lang w:bidi="ar-SA"/>
              </w:rPr>
              <w:t>, not worst case</w:t>
            </w:r>
          </w:p>
        </w:tc>
      </w:tr>
      <w:tr w:rsidR="00113378" w14:paraId="7735544E" w14:textId="77777777" w:rsidTr="00A5700E">
        <w:tc>
          <w:tcPr>
            <w:tcW w:w="1696" w:type="dxa"/>
            <w:tcBorders>
              <w:top w:val="nil"/>
              <w:bottom w:val="nil"/>
            </w:tcBorders>
          </w:tcPr>
          <w:p w14:paraId="29210388" w14:textId="258BEEA1" w:rsidR="00113378" w:rsidRDefault="00113378" w:rsidP="00113378">
            <w:pPr>
              <w:rPr>
                <w:lang w:bidi="ar-SA"/>
              </w:rPr>
            </w:pPr>
          </w:p>
        </w:tc>
        <w:tc>
          <w:tcPr>
            <w:tcW w:w="2117" w:type="dxa"/>
          </w:tcPr>
          <w:p w14:paraId="72913732" w14:textId="248B96C0" w:rsidR="00113378" w:rsidRPr="005A4E4C" w:rsidRDefault="00113378" w:rsidP="005A4E4C">
            <w:pPr>
              <w:rPr>
                <w:lang w:bidi="ar-SA"/>
              </w:rPr>
            </w:pPr>
            <w:r w:rsidRPr="005A4E4C">
              <w:rPr>
                <w:lang w:bidi="ar-SA"/>
              </w:rPr>
              <w:t>Kang et al. (2006)</w:t>
            </w:r>
          </w:p>
        </w:tc>
        <w:tc>
          <w:tcPr>
            <w:tcW w:w="1417" w:type="dxa"/>
          </w:tcPr>
          <w:p w14:paraId="47FF5B3F" w14:textId="35CA1942" w:rsidR="00113378" w:rsidRPr="002606B7" w:rsidRDefault="00113378" w:rsidP="00113378">
            <w:pPr>
              <w:rPr>
                <w:lang w:bidi="ar-SA"/>
              </w:rPr>
            </w:pPr>
            <w:r w:rsidRPr="002B582E">
              <w:rPr>
                <w:lang w:bidi="ar-SA"/>
              </w:rPr>
              <w:t>Chinese cabbage</w:t>
            </w:r>
            <w:r>
              <w:rPr>
                <w:lang w:bidi="ar-SA"/>
              </w:rPr>
              <w:t xml:space="preserve"> (total)</w:t>
            </w:r>
          </w:p>
        </w:tc>
        <w:tc>
          <w:tcPr>
            <w:tcW w:w="1144" w:type="dxa"/>
          </w:tcPr>
          <w:p w14:paraId="2A5C50E3" w14:textId="00A6B3E1" w:rsidR="00113378" w:rsidRDefault="00113378" w:rsidP="00A5700E">
            <w:pPr>
              <w:jc w:val="right"/>
              <w:rPr>
                <w:lang w:bidi="ar-SA"/>
              </w:rPr>
            </w:pPr>
            <w:r>
              <w:rPr>
                <w:lang w:bidi="ar-SA"/>
              </w:rPr>
              <w:t>25</w:t>
            </w:r>
          </w:p>
        </w:tc>
        <w:tc>
          <w:tcPr>
            <w:tcW w:w="1134" w:type="dxa"/>
          </w:tcPr>
          <w:p w14:paraId="3297D581" w14:textId="3949E944" w:rsidR="00113378" w:rsidRDefault="00113378" w:rsidP="00113378">
            <w:pPr>
              <w:rPr>
                <w:lang w:bidi="ar-SA"/>
              </w:rPr>
            </w:pPr>
            <w:r>
              <w:rPr>
                <w:lang w:bidi="ar-SA"/>
              </w:rPr>
              <w:t>No</w:t>
            </w:r>
          </w:p>
        </w:tc>
        <w:tc>
          <w:tcPr>
            <w:tcW w:w="2052" w:type="dxa"/>
          </w:tcPr>
          <w:p w14:paraId="05E682D2" w14:textId="27A20AA8" w:rsidR="00113378" w:rsidRDefault="00113378" w:rsidP="00A5700E">
            <w:pPr>
              <w:rPr>
                <w:lang w:bidi="ar-SA"/>
              </w:rPr>
            </w:pPr>
            <w:r>
              <w:rPr>
                <w:lang w:bidi="ar-SA"/>
              </w:rPr>
              <w:t>Low value</w:t>
            </w:r>
            <w:r w:rsidR="00A5700E">
              <w:rPr>
                <w:lang w:bidi="ar-SA"/>
              </w:rPr>
              <w:t>, , not worst case</w:t>
            </w:r>
          </w:p>
        </w:tc>
      </w:tr>
      <w:tr w:rsidR="00113378" w14:paraId="61297860" w14:textId="77777777" w:rsidTr="00A5700E">
        <w:tc>
          <w:tcPr>
            <w:tcW w:w="1696" w:type="dxa"/>
            <w:tcBorders>
              <w:top w:val="nil"/>
              <w:bottom w:val="nil"/>
            </w:tcBorders>
          </w:tcPr>
          <w:p w14:paraId="34D71648" w14:textId="23F37172" w:rsidR="00113378" w:rsidRDefault="00113378" w:rsidP="00113378">
            <w:pPr>
              <w:rPr>
                <w:lang w:bidi="ar-SA"/>
              </w:rPr>
            </w:pPr>
          </w:p>
        </w:tc>
        <w:tc>
          <w:tcPr>
            <w:tcW w:w="2117" w:type="dxa"/>
          </w:tcPr>
          <w:p w14:paraId="3A7E969B" w14:textId="5AA761DC" w:rsidR="00113378" w:rsidRPr="005A4E4C" w:rsidRDefault="00113378" w:rsidP="005A4E4C">
            <w:pPr>
              <w:rPr>
                <w:lang w:bidi="ar-SA"/>
              </w:rPr>
            </w:pPr>
            <w:r w:rsidRPr="005A4E4C">
              <w:rPr>
                <w:lang w:bidi="ar-SA"/>
              </w:rPr>
              <w:t>Lee et al. (2014)</w:t>
            </w:r>
          </w:p>
        </w:tc>
        <w:tc>
          <w:tcPr>
            <w:tcW w:w="1417" w:type="dxa"/>
          </w:tcPr>
          <w:p w14:paraId="256498F8" w14:textId="49396B77" w:rsidR="00113378" w:rsidRPr="002606B7" w:rsidRDefault="00113378" w:rsidP="00113378">
            <w:pPr>
              <w:rPr>
                <w:lang w:bidi="ar-SA"/>
              </w:rPr>
            </w:pPr>
            <w:r w:rsidRPr="009F4A78">
              <w:rPr>
                <w:lang w:bidi="ar-SA"/>
              </w:rPr>
              <w:t>Chinese cabbage</w:t>
            </w:r>
            <w:r>
              <w:rPr>
                <w:lang w:bidi="ar-SA"/>
              </w:rPr>
              <w:t xml:space="preserve"> leaves</w:t>
            </w:r>
          </w:p>
        </w:tc>
        <w:tc>
          <w:tcPr>
            <w:tcW w:w="1144" w:type="dxa"/>
          </w:tcPr>
          <w:p w14:paraId="1F4D21B6" w14:textId="7588E6DF" w:rsidR="00113378" w:rsidRDefault="00113378" w:rsidP="00A5700E">
            <w:pPr>
              <w:jc w:val="right"/>
              <w:rPr>
                <w:lang w:bidi="ar-SA"/>
              </w:rPr>
            </w:pPr>
            <w:r>
              <w:rPr>
                <w:lang w:bidi="ar-SA"/>
              </w:rPr>
              <w:t>62</w:t>
            </w:r>
          </w:p>
        </w:tc>
        <w:tc>
          <w:tcPr>
            <w:tcW w:w="1134" w:type="dxa"/>
          </w:tcPr>
          <w:p w14:paraId="6D12FEC2" w14:textId="6B2144B2" w:rsidR="00113378" w:rsidRDefault="00113378" w:rsidP="00113378">
            <w:pPr>
              <w:rPr>
                <w:lang w:bidi="ar-SA"/>
              </w:rPr>
            </w:pPr>
            <w:r>
              <w:rPr>
                <w:lang w:bidi="ar-SA"/>
              </w:rPr>
              <w:t>No</w:t>
            </w:r>
          </w:p>
        </w:tc>
        <w:tc>
          <w:tcPr>
            <w:tcW w:w="2052" w:type="dxa"/>
          </w:tcPr>
          <w:p w14:paraId="0CC448CC" w14:textId="4809ECC2" w:rsidR="00113378" w:rsidRDefault="00113378" w:rsidP="00A5700E">
            <w:pPr>
              <w:rPr>
                <w:lang w:bidi="ar-SA"/>
              </w:rPr>
            </w:pPr>
            <w:r>
              <w:rPr>
                <w:lang w:bidi="ar-SA"/>
              </w:rPr>
              <w:t>Comparative lowest value</w:t>
            </w:r>
            <w:r w:rsidR="00A5700E">
              <w:rPr>
                <w:lang w:bidi="ar-SA"/>
              </w:rPr>
              <w:t>, not worst case</w:t>
            </w:r>
          </w:p>
        </w:tc>
      </w:tr>
      <w:tr w:rsidR="00113378" w14:paraId="13665993" w14:textId="77777777" w:rsidTr="00A5700E">
        <w:tc>
          <w:tcPr>
            <w:tcW w:w="1696" w:type="dxa"/>
            <w:tcBorders>
              <w:top w:val="nil"/>
              <w:bottom w:val="nil"/>
            </w:tcBorders>
          </w:tcPr>
          <w:p w14:paraId="485504C4" w14:textId="6ADEF64D" w:rsidR="00113378" w:rsidRDefault="00113378" w:rsidP="00113378">
            <w:pPr>
              <w:rPr>
                <w:lang w:bidi="ar-SA"/>
              </w:rPr>
            </w:pPr>
          </w:p>
        </w:tc>
        <w:tc>
          <w:tcPr>
            <w:tcW w:w="2117" w:type="dxa"/>
          </w:tcPr>
          <w:p w14:paraId="00A4B42A" w14:textId="7D1CB23D" w:rsidR="00113378" w:rsidRPr="005A4E4C" w:rsidRDefault="00113378" w:rsidP="005A4E4C">
            <w:pPr>
              <w:rPr>
                <w:lang w:bidi="ar-SA"/>
              </w:rPr>
            </w:pPr>
            <w:r w:rsidRPr="005A4E4C">
              <w:rPr>
                <w:lang w:bidi="ar-SA"/>
              </w:rPr>
              <w:t>Kushad et al. (1999)</w:t>
            </w:r>
          </w:p>
        </w:tc>
        <w:tc>
          <w:tcPr>
            <w:tcW w:w="1417" w:type="dxa"/>
          </w:tcPr>
          <w:p w14:paraId="49A06462" w14:textId="7E145A48" w:rsidR="00113378" w:rsidRDefault="00113378" w:rsidP="00113378">
            <w:pPr>
              <w:rPr>
                <w:lang w:bidi="ar-SA"/>
              </w:rPr>
            </w:pPr>
            <w:r w:rsidRPr="002606B7">
              <w:rPr>
                <w:lang w:bidi="ar-SA"/>
              </w:rPr>
              <w:t>Brussels sprouts</w:t>
            </w:r>
          </w:p>
        </w:tc>
        <w:tc>
          <w:tcPr>
            <w:tcW w:w="1144" w:type="dxa"/>
          </w:tcPr>
          <w:p w14:paraId="2937D520" w14:textId="7AFE8CFF" w:rsidR="00113378" w:rsidRDefault="00113378" w:rsidP="00A5700E">
            <w:pPr>
              <w:jc w:val="right"/>
              <w:rPr>
                <w:lang w:bidi="ar-SA"/>
              </w:rPr>
            </w:pPr>
            <w:r>
              <w:rPr>
                <w:lang w:bidi="ar-SA"/>
              </w:rPr>
              <w:t>4</w:t>
            </w:r>
          </w:p>
        </w:tc>
        <w:tc>
          <w:tcPr>
            <w:tcW w:w="1134" w:type="dxa"/>
          </w:tcPr>
          <w:p w14:paraId="5DF8038A" w14:textId="2409C8B7" w:rsidR="00113378" w:rsidRDefault="00113378" w:rsidP="00113378">
            <w:pPr>
              <w:rPr>
                <w:lang w:bidi="ar-SA"/>
              </w:rPr>
            </w:pPr>
            <w:r>
              <w:rPr>
                <w:lang w:bidi="ar-SA"/>
              </w:rPr>
              <w:t>No</w:t>
            </w:r>
          </w:p>
        </w:tc>
        <w:tc>
          <w:tcPr>
            <w:tcW w:w="2052" w:type="dxa"/>
          </w:tcPr>
          <w:p w14:paraId="0EACB9F3" w14:textId="7B2EBFB2" w:rsidR="00113378" w:rsidRDefault="00113378" w:rsidP="00A5700E">
            <w:pPr>
              <w:rPr>
                <w:lang w:bidi="ar-SA"/>
              </w:rPr>
            </w:pPr>
            <w:r>
              <w:rPr>
                <w:lang w:bidi="ar-SA"/>
              </w:rPr>
              <w:t>Low value</w:t>
            </w:r>
            <w:r w:rsidR="00A5700E">
              <w:rPr>
                <w:lang w:bidi="ar-SA"/>
              </w:rPr>
              <w:t>, not worst case</w:t>
            </w:r>
          </w:p>
        </w:tc>
      </w:tr>
      <w:tr w:rsidR="00113378" w14:paraId="7CF0FE3D" w14:textId="77777777" w:rsidTr="00A5700E">
        <w:tc>
          <w:tcPr>
            <w:tcW w:w="1696" w:type="dxa"/>
            <w:tcBorders>
              <w:top w:val="nil"/>
              <w:bottom w:val="nil"/>
            </w:tcBorders>
          </w:tcPr>
          <w:p w14:paraId="58871C04" w14:textId="5A57950E" w:rsidR="00113378" w:rsidRDefault="00113378" w:rsidP="00113378">
            <w:pPr>
              <w:rPr>
                <w:lang w:bidi="ar-SA"/>
              </w:rPr>
            </w:pPr>
          </w:p>
        </w:tc>
        <w:tc>
          <w:tcPr>
            <w:tcW w:w="2117" w:type="dxa"/>
          </w:tcPr>
          <w:p w14:paraId="524AA775" w14:textId="7794B7F0" w:rsidR="00113378" w:rsidRPr="005A4E4C" w:rsidRDefault="00113378" w:rsidP="005A4E4C">
            <w:pPr>
              <w:rPr>
                <w:lang w:bidi="ar-SA"/>
              </w:rPr>
            </w:pPr>
            <w:r w:rsidRPr="005A4E4C">
              <w:rPr>
                <w:lang w:bidi="ar-SA"/>
              </w:rPr>
              <w:t>Ciska et al. (2000)</w:t>
            </w:r>
          </w:p>
        </w:tc>
        <w:tc>
          <w:tcPr>
            <w:tcW w:w="1417" w:type="dxa"/>
          </w:tcPr>
          <w:p w14:paraId="150723D3" w14:textId="277E2807" w:rsidR="00113378" w:rsidRDefault="00113378" w:rsidP="00113378">
            <w:pPr>
              <w:rPr>
                <w:lang w:bidi="ar-SA"/>
              </w:rPr>
            </w:pPr>
            <w:r w:rsidRPr="006833A7">
              <w:rPr>
                <w:lang w:bidi="ar-SA"/>
              </w:rPr>
              <w:t>Brussels sprouts</w:t>
            </w:r>
          </w:p>
        </w:tc>
        <w:tc>
          <w:tcPr>
            <w:tcW w:w="1144" w:type="dxa"/>
          </w:tcPr>
          <w:p w14:paraId="4DF613D8" w14:textId="2A92D0BD" w:rsidR="00113378" w:rsidRDefault="00113378" w:rsidP="00A5700E">
            <w:pPr>
              <w:jc w:val="right"/>
              <w:rPr>
                <w:lang w:bidi="ar-SA"/>
              </w:rPr>
            </w:pPr>
            <w:r>
              <w:rPr>
                <w:lang w:bidi="ar-SA"/>
              </w:rPr>
              <w:t>1</w:t>
            </w:r>
          </w:p>
        </w:tc>
        <w:tc>
          <w:tcPr>
            <w:tcW w:w="1134" w:type="dxa"/>
          </w:tcPr>
          <w:p w14:paraId="7464162A" w14:textId="62A1845C" w:rsidR="00113378" w:rsidRDefault="00113378" w:rsidP="00113378">
            <w:pPr>
              <w:rPr>
                <w:lang w:bidi="ar-SA"/>
              </w:rPr>
            </w:pPr>
            <w:r>
              <w:rPr>
                <w:lang w:bidi="ar-SA"/>
              </w:rPr>
              <w:t>No</w:t>
            </w:r>
          </w:p>
        </w:tc>
        <w:tc>
          <w:tcPr>
            <w:tcW w:w="2052" w:type="dxa"/>
          </w:tcPr>
          <w:p w14:paraId="3EB33B26" w14:textId="546AA478" w:rsidR="00113378" w:rsidRDefault="00113378" w:rsidP="00A5700E">
            <w:pPr>
              <w:rPr>
                <w:lang w:bidi="ar-SA"/>
              </w:rPr>
            </w:pPr>
            <w:r>
              <w:rPr>
                <w:lang w:bidi="ar-SA"/>
              </w:rPr>
              <w:t xml:space="preserve">Unreliable large data value for </w:t>
            </w:r>
            <w:r w:rsidR="00A5700E">
              <w:rPr>
                <w:lang w:bidi="ar-SA"/>
              </w:rPr>
              <w:t>one</w:t>
            </w:r>
            <w:r>
              <w:rPr>
                <w:lang w:bidi="ar-SA"/>
              </w:rPr>
              <w:t xml:space="preserve"> sample </w:t>
            </w:r>
          </w:p>
        </w:tc>
      </w:tr>
      <w:tr w:rsidR="00113378" w14:paraId="4B86A58E" w14:textId="77777777" w:rsidTr="00A5700E">
        <w:tc>
          <w:tcPr>
            <w:tcW w:w="1696" w:type="dxa"/>
            <w:tcBorders>
              <w:top w:val="nil"/>
              <w:bottom w:val="nil"/>
            </w:tcBorders>
          </w:tcPr>
          <w:p w14:paraId="7F9CAA48" w14:textId="0BDD8D6D" w:rsidR="00113378" w:rsidRDefault="00113378" w:rsidP="00113378">
            <w:pPr>
              <w:rPr>
                <w:lang w:bidi="ar-SA"/>
              </w:rPr>
            </w:pPr>
          </w:p>
        </w:tc>
        <w:tc>
          <w:tcPr>
            <w:tcW w:w="2117" w:type="dxa"/>
          </w:tcPr>
          <w:p w14:paraId="383D7788" w14:textId="6CD162B9" w:rsidR="00113378" w:rsidRPr="005A4E4C" w:rsidRDefault="00113378" w:rsidP="005A4E4C">
            <w:pPr>
              <w:rPr>
                <w:lang w:bidi="ar-SA"/>
              </w:rPr>
            </w:pPr>
            <w:r w:rsidRPr="005A4E4C">
              <w:rPr>
                <w:lang w:bidi="ar-SA"/>
              </w:rPr>
              <w:t>Charron et al. (2005)</w:t>
            </w:r>
          </w:p>
        </w:tc>
        <w:tc>
          <w:tcPr>
            <w:tcW w:w="1417" w:type="dxa"/>
          </w:tcPr>
          <w:p w14:paraId="291F5B1F" w14:textId="22AF02C6" w:rsidR="00113378" w:rsidRDefault="00113378" w:rsidP="00113378">
            <w:pPr>
              <w:rPr>
                <w:lang w:bidi="ar-SA"/>
              </w:rPr>
            </w:pPr>
            <w:r w:rsidRPr="006833A7">
              <w:rPr>
                <w:lang w:bidi="ar-SA"/>
              </w:rPr>
              <w:t>Brussels sprouts</w:t>
            </w:r>
          </w:p>
        </w:tc>
        <w:tc>
          <w:tcPr>
            <w:tcW w:w="1144" w:type="dxa"/>
          </w:tcPr>
          <w:p w14:paraId="32F78F60" w14:textId="19EEB683" w:rsidR="00113378" w:rsidRDefault="00113378" w:rsidP="00A5700E">
            <w:pPr>
              <w:jc w:val="right"/>
              <w:rPr>
                <w:lang w:bidi="ar-SA"/>
              </w:rPr>
            </w:pPr>
            <w:r>
              <w:rPr>
                <w:lang w:bidi="ar-SA"/>
              </w:rPr>
              <w:t>2</w:t>
            </w:r>
          </w:p>
        </w:tc>
        <w:tc>
          <w:tcPr>
            <w:tcW w:w="1134" w:type="dxa"/>
          </w:tcPr>
          <w:p w14:paraId="5E442AEB" w14:textId="33DC012B" w:rsidR="00113378" w:rsidRDefault="00113378" w:rsidP="00113378">
            <w:pPr>
              <w:rPr>
                <w:lang w:bidi="ar-SA"/>
              </w:rPr>
            </w:pPr>
            <w:r>
              <w:rPr>
                <w:lang w:bidi="ar-SA"/>
              </w:rPr>
              <w:t>No</w:t>
            </w:r>
          </w:p>
        </w:tc>
        <w:tc>
          <w:tcPr>
            <w:tcW w:w="2052" w:type="dxa"/>
          </w:tcPr>
          <w:p w14:paraId="782F596D" w14:textId="30A2AB1E" w:rsidR="00113378" w:rsidRDefault="00113378" w:rsidP="00A5700E">
            <w:pPr>
              <w:rPr>
                <w:lang w:bidi="ar-SA"/>
              </w:rPr>
            </w:pPr>
            <w:r>
              <w:rPr>
                <w:lang w:bidi="ar-SA"/>
              </w:rPr>
              <w:t>Low value</w:t>
            </w:r>
            <w:r w:rsidR="00A5700E">
              <w:rPr>
                <w:lang w:bidi="ar-SA"/>
              </w:rPr>
              <w:t>, not worst case</w:t>
            </w:r>
          </w:p>
        </w:tc>
      </w:tr>
      <w:tr w:rsidR="00113378" w14:paraId="2789BE8B" w14:textId="77777777" w:rsidTr="00A5700E">
        <w:tc>
          <w:tcPr>
            <w:tcW w:w="1696" w:type="dxa"/>
            <w:tcBorders>
              <w:top w:val="nil"/>
              <w:bottom w:val="nil"/>
            </w:tcBorders>
          </w:tcPr>
          <w:p w14:paraId="078A1547" w14:textId="3B242D42" w:rsidR="00113378" w:rsidRDefault="00113378" w:rsidP="00113378">
            <w:pPr>
              <w:rPr>
                <w:lang w:bidi="ar-SA"/>
              </w:rPr>
            </w:pPr>
          </w:p>
        </w:tc>
        <w:tc>
          <w:tcPr>
            <w:tcW w:w="2117" w:type="dxa"/>
          </w:tcPr>
          <w:p w14:paraId="575EEC5B" w14:textId="7BB5CC86" w:rsidR="00113378" w:rsidRPr="005A4E4C" w:rsidRDefault="00113378" w:rsidP="005A4E4C">
            <w:pPr>
              <w:rPr>
                <w:lang w:bidi="ar-SA"/>
              </w:rPr>
            </w:pPr>
            <w:r w:rsidRPr="005A4E4C">
              <w:rPr>
                <w:lang w:bidi="ar-SA"/>
              </w:rPr>
              <w:t>Ciska et al. (2000)</w:t>
            </w:r>
          </w:p>
        </w:tc>
        <w:tc>
          <w:tcPr>
            <w:tcW w:w="1417" w:type="dxa"/>
          </w:tcPr>
          <w:p w14:paraId="6F9E354C" w14:textId="11CE6862" w:rsidR="00113378" w:rsidRDefault="00113378" w:rsidP="00113378">
            <w:pPr>
              <w:rPr>
                <w:lang w:bidi="ar-SA"/>
              </w:rPr>
            </w:pPr>
            <w:r w:rsidRPr="001A1434">
              <w:rPr>
                <w:lang w:bidi="ar-SA"/>
              </w:rPr>
              <w:t>Kohlrabi</w:t>
            </w:r>
          </w:p>
        </w:tc>
        <w:tc>
          <w:tcPr>
            <w:tcW w:w="1144" w:type="dxa"/>
          </w:tcPr>
          <w:p w14:paraId="236FA770" w14:textId="37456F57" w:rsidR="00113378" w:rsidRDefault="00113378" w:rsidP="00A5700E">
            <w:pPr>
              <w:jc w:val="right"/>
              <w:rPr>
                <w:lang w:bidi="ar-SA"/>
              </w:rPr>
            </w:pPr>
            <w:r>
              <w:rPr>
                <w:lang w:bidi="ar-SA"/>
              </w:rPr>
              <w:t>1</w:t>
            </w:r>
          </w:p>
        </w:tc>
        <w:tc>
          <w:tcPr>
            <w:tcW w:w="1134" w:type="dxa"/>
          </w:tcPr>
          <w:p w14:paraId="0D772CDC" w14:textId="0F04ED8E" w:rsidR="00113378" w:rsidRDefault="00113378" w:rsidP="00113378">
            <w:pPr>
              <w:rPr>
                <w:lang w:bidi="ar-SA"/>
              </w:rPr>
            </w:pPr>
            <w:r>
              <w:rPr>
                <w:lang w:bidi="ar-SA"/>
              </w:rPr>
              <w:t>No</w:t>
            </w:r>
          </w:p>
        </w:tc>
        <w:tc>
          <w:tcPr>
            <w:tcW w:w="2052" w:type="dxa"/>
          </w:tcPr>
          <w:p w14:paraId="3000BE1A" w14:textId="335FC5C8" w:rsidR="00113378" w:rsidRDefault="00A5700E" w:rsidP="00113378">
            <w:pPr>
              <w:rPr>
                <w:lang w:bidi="ar-SA"/>
              </w:rPr>
            </w:pPr>
            <w:r>
              <w:rPr>
                <w:lang w:bidi="ar-SA"/>
              </w:rPr>
              <w:t>One</w:t>
            </w:r>
            <w:r w:rsidR="00113378">
              <w:rPr>
                <w:lang w:bidi="ar-SA"/>
              </w:rPr>
              <w:t xml:space="preserve"> sample, low value</w:t>
            </w:r>
            <w:r>
              <w:rPr>
                <w:lang w:bidi="ar-SA"/>
              </w:rPr>
              <w:t>, not worst case</w:t>
            </w:r>
          </w:p>
        </w:tc>
      </w:tr>
      <w:tr w:rsidR="00113378" w14:paraId="5447F57F" w14:textId="77777777" w:rsidTr="00A5700E">
        <w:tc>
          <w:tcPr>
            <w:tcW w:w="1696" w:type="dxa"/>
            <w:tcBorders>
              <w:top w:val="nil"/>
            </w:tcBorders>
          </w:tcPr>
          <w:p w14:paraId="18406EAE" w14:textId="636200F5" w:rsidR="00113378" w:rsidRDefault="00113378" w:rsidP="00113378">
            <w:pPr>
              <w:rPr>
                <w:lang w:bidi="ar-SA"/>
              </w:rPr>
            </w:pPr>
          </w:p>
        </w:tc>
        <w:tc>
          <w:tcPr>
            <w:tcW w:w="2117" w:type="dxa"/>
          </w:tcPr>
          <w:p w14:paraId="7AE2B9D6" w14:textId="52C80ADD" w:rsidR="00113378" w:rsidRDefault="00113378" w:rsidP="00113378">
            <w:pPr>
              <w:rPr>
                <w:lang w:bidi="ar-SA"/>
              </w:rPr>
            </w:pPr>
            <w:r w:rsidRPr="001A1434">
              <w:rPr>
                <w:lang w:bidi="ar-SA"/>
              </w:rPr>
              <w:t>CFSAN/Office of Food Additive Safety 2010 GRN 00327</w:t>
            </w:r>
          </w:p>
        </w:tc>
        <w:tc>
          <w:tcPr>
            <w:tcW w:w="1417" w:type="dxa"/>
          </w:tcPr>
          <w:p w14:paraId="67004286" w14:textId="1F317A90" w:rsidR="00113378" w:rsidRDefault="00113378" w:rsidP="00113378">
            <w:pPr>
              <w:rPr>
                <w:lang w:bidi="ar-SA"/>
              </w:rPr>
            </w:pPr>
            <w:r w:rsidRPr="001A1434">
              <w:rPr>
                <w:lang w:bidi="ar-SA"/>
              </w:rPr>
              <w:t>Kohlrabi</w:t>
            </w:r>
          </w:p>
        </w:tc>
        <w:tc>
          <w:tcPr>
            <w:tcW w:w="1144" w:type="dxa"/>
          </w:tcPr>
          <w:p w14:paraId="1004EB38" w14:textId="2104280D" w:rsidR="00113378" w:rsidRDefault="00113378" w:rsidP="00A5700E">
            <w:pPr>
              <w:jc w:val="right"/>
              <w:rPr>
                <w:lang w:bidi="ar-SA"/>
              </w:rPr>
            </w:pPr>
            <w:r>
              <w:rPr>
                <w:lang w:bidi="ar-SA"/>
              </w:rPr>
              <w:t>NS</w:t>
            </w:r>
          </w:p>
        </w:tc>
        <w:tc>
          <w:tcPr>
            <w:tcW w:w="1134" w:type="dxa"/>
          </w:tcPr>
          <w:p w14:paraId="27C08356" w14:textId="17CA2FD4" w:rsidR="00113378" w:rsidRDefault="00113378" w:rsidP="00113378">
            <w:pPr>
              <w:rPr>
                <w:lang w:bidi="ar-SA"/>
              </w:rPr>
            </w:pPr>
            <w:r>
              <w:rPr>
                <w:lang w:bidi="ar-SA"/>
              </w:rPr>
              <w:t>No</w:t>
            </w:r>
          </w:p>
        </w:tc>
        <w:tc>
          <w:tcPr>
            <w:tcW w:w="2052" w:type="dxa"/>
          </w:tcPr>
          <w:p w14:paraId="1F7B325E" w14:textId="5E6853C1" w:rsidR="00113378" w:rsidRDefault="00113378" w:rsidP="00113378">
            <w:pPr>
              <w:rPr>
                <w:lang w:bidi="ar-SA"/>
              </w:rPr>
            </w:pPr>
            <w:r>
              <w:rPr>
                <w:lang w:bidi="ar-SA"/>
              </w:rPr>
              <w:t>Unknown number of samples</w:t>
            </w:r>
          </w:p>
        </w:tc>
      </w:tr>
    </w:tbl>
    <w:p w14:paraId="79BB9D15" w14:textId="77777777" w:rsidR="004D5874" w:rsidRDefault="004D5874" w:rsidP="004A26DB">
      <w:pPr>
        <w:rPr>
          <w:lang w:bidi="ar-SA"/>
        </w:rPr>
      </w:pPr>
    </w:p>
    <w:p w14:paraId="3D272650" w14:textId="770A9268" w:rsidR="00FD28D3" w:rsidRDefault="00313B8B" w:rsidP="00E41BD5">
      <w:pPr>
        <w:pStyle w:val="Heading2"/>
      </w:pPr>
      <w:bookmarkStart w:id="1793" w:name="_Toc38549525"/>
      <w:bookmarkStart w:id="1794" w:name="_Toc38634188"/>
      <w:bookmarkStart w:id="1795" w:name="_Toc39571067"/>
      <w:bookmarkStart w:id="1796" w:name="_Toc39579323"/>
      <w:bookmarkStart w:id="1797" w:name="_Toc39579386"/>
      <w:bookmarkStart w:id="1798" w:name="_Toc39587144"/>
      <w:bookmarkStart w:id="1799" w:name="_Toc39582536"/>
      <w:bookmarkStart w:id="1800" w:name="_Toc40264952"/>
      <w:bookmarkStart w:id="1801" w:name="_Toc40266428"/>
      <w:bookmarkStart w:id="1802" w:name="_Toc40279761"/>
      <w:bookmarkStart w:id="1803" w:name="_Toc40282063"/>
      <w:bookmarkStart w:id="1804" w:name="_Toc40282225"/>
      <w:bookmarkStart w:id="1805" w:name="_Toc40360555"/>
      <w:bookmarkStart w:id="1806" w:name="_Toc40353598"/>
      <w:bookmarkStart w:id="1807" w:name="_Toc40366945"/>
      <w:bookmarkStart w:id="1808" w:name="_Toc40368277"/>
      <w:bookmarkStart w:id="1809" w:name="_Toc40382883"/>
      <w:bookmarkStart w:id="1810" w:name="_Toc40431082"/>
      <w:bookmarkStart w:id="1811" w:name="_Toc40433020"/>
      <w:bookmarkStart w:id="1812" w:name="_Toc40447705"/>
      <w:bookmarkStart w:id="1813" w:name="_Toc40441234"/>
      <w:bookmarkStart w:id="1814" w:name="_Toc40448570"/>
      <w:bookmarkStart w:id="1815" w:name="_Toc40449998"/>
      <w:bookmarkStart w:id="1816" w:name="_Toc40968336"/>
      <w:bookmarkStart w:id="1817" w:name="_Toc41051058"/>
      <w:bookmarkStart w:id="1818" w:name="_Toc41046058"/>
      <w:bookmarkStart w:id="1819" w:name="_Toc41053516"/>
      <w:bookmarkStart w:id="1820" w:name="_Toc44592687"/>
      <w:bookmarkStart w:id="1821" w:name="_Toc44596200"/>
      <w:bookmarkStart w:id="1822" w:name="_Toc44604595"/>
      <w:bookmarkStart w:id="1823" w:name="_Toc54169744"/>
      <w:bookmarkStart w:id="1824" w:name="_Toc56090034"/>
      <w:r>
        <w:t>9.4</w:t>
      </w:r>
      <w:r w:rsidR="00BC789C">
        <w:tab/>
      </w:r>
      <w:r w:rsidR="00FA45EF">
        <w:t>Methodology</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14:paraId="5CF1F6B2" w14:textId="1B1CCD70" w:rsidR="00FA45EF" w:rsidRPr="00047F90" w:rsidRDefault="00FA45EF" w:rsidP="00FA45EF">
      <w:r w:rsidRPr="00047F90">
        <w:t xml:space="preserve">Dietary exposure to rapeseed protein </w:t>
      </w:r>
      <w:r w:rsidR="00D237B1">
        <w:t xml:space="preserve">isolate </w:t>
      </w:r>
      <w:r w:rsidRPr="00047F90">
        <w:t xml:space="preserve">was calculated for each individual consumer in the national nutrition surveys using their individual food consumption records. The Harvest program multiplied the specified concentrations of </w:t>
      </w:r>
      <w:r w:rsidR="00D237B1">
        <w:t>r</w:t>
      </w:r>
      <w:r w:rsidRPr="00047F90">
        <w:t>apeseed protein isolate for an individual food by the amount of the food that an individual consumed in order to estimate the exposure to rapeseed protein isolate from each food. Once this had been completed for all of the foods specified to contain rapeseed protein</w:t>
      </w:r>
      <w:r w:rsidR="00D237B1">
        <w:t xml:space="preserve"> isolate</w:t>
      </w:r>
      <w:r w:rsidRPr="00047F90">
        <w:t xml:space="preserve">, the total amount of rapeseed protein </w:t>
      </w:r>
      <w:r w:rsidR="00D237B1">
        <w:t xml:space="preserve">isolate </w:t>
      </w:r>
      <w:r w:rsidRPr="00047F90">
        <w:t xml:space="preserve">consumed from all foods was summed for each individual. Where results are expressed on a body weight basis, each individual’s body weight was used. Mean and 90th percentile (P90) dietary exposures were then derived from the individuals’ ranked exposures. Estimated dietary exposures for the population on a body weight basis were compared to </w:t>
      </w:r>
      <w:r w:rsidR="00D237B1">
        <w:t>relevant toxicological endpoints or health based guidance values</w:t>
      </w:r>
      <w:r w:rsidRPr="00047F90">
        <w:t xml:space="preserve"> for risk c</w:t>
      </w:r>
      <w:r w:rsidR="00A5700E">
        <w:t>haracterisation purposes.</w:t>
      </w:r>
    </w:p>
    <w:p w14:paraId="3AFA72A0" w14:textId="3BF3420D" w:rsidR="00FA45EF" w:rsidRDefault="00FA45EF" w:rsidP="004A26DB">
      <w:pPr>
        <w:rPr>
          <w:lang w:bidi="ar-SA"/>
        </w:rPr>
      </w:pPr>
    </w:p>
    <w:p w14:paraId="7E39BAA5" w14:textId="01120C9D" w:rsidR="00A5700E" w:rsidRDefault="00A5700E" w:rsidP="00BC789C">
      <w:pPr>
        <w:widowControl/>
        <w:autoSpaceDE w:val="0"/>
        <w:autoSpaceDN w:val="0"/>
        <w:adjustRightInd w:val="0"/>
        <w:spacing w:after="31"/>
        <w:rPr>
          <w:lang w:bidi="ar-SA"/>
        </w:rPr>
      </w:pPr>
      <w:r>
        <w:rPr>
          <w:lang w:bidi="ar-SA"/>
        </w:rPr>
        <w:t>The applicant did not seek permission for use of rapeseed protein isolate in infant formula products (infant formula, follow-on formula and infant formula products for special dietary uses) and infant foods so the scope for dietary exposure assessment does not include these</w:t>
      </w:r>
      <w:r w:rsidR="008001F5">
        <w:rPr>
          <w:lang w:bidi="ar-SA"/>
        </w:rPr>
        <w:t xml:space="preserve"> products.</w:t>
      </w:r>
    </w:p>
    <w:p w14:paraId="706A7870" w14:textId="4B465EAE" w:rsidR="00725070" w:rsidRDefault="00041241" w:rsidP="00E41BD5">
      <w:pPr>
        <w:pStyle w:val="Heading2"/>
      </w:pPr>
      <w:bookmarkStart w:id="1825" w:name="_Toc44592689"/>
      <w:bookmarkStart w:id="1826" w:name="_Toc44596202"/>
      <w:bookmarkStart w:id="1827" w:name="_Toc44604597"/>
      <w:bookmarkStart w:id="1828" w:name="_Toc54169746"/>
      <w:bookmarkStart w:id="1829" w:name="_Toc56090035"/>
      <w:r>
        <w:t>9.</w:t>
      </w:r>
      <w:r w:rsidR="00313B8B">
        <w:t>5</w:t>
      </w:r>
      <w:r w:rsidR="00725070">
        <w:tab/>
        <w:t>Detailed dietary exposure assessment results based on proposed maximum use levels</w:t>
      </w:r>
      <w:bookmarkEnd w:id="1825"/>
      <w:bookmarkEnd w:id="1826"/>
      <w:bookmarkEnd w:id="1827"/>
      <w:bookmarkEnd w:id="1828"/>
      <w:bookmarkEnd w:id="1829"/>
    </w:p>
    <w:p w14:paraId="3ACD6B57" w14:textId="3BA6A3D0" w:rsidR="00725070" w:rsidRDefault="00041241" w:rsidP="00614DC8">
      <w:pPr>
        <w:pStyle w:val="Heading3"/>
        <w:rPr>
          <w:rFonts w:eastAsiaTheme="minorHAnsi"/>
        </w:rPr>
      </w:pPr>
      <w:bookmarkStart w:id="1830" w:name="_Toc44592690"/>
      <w:bookmarkStart w:id="1831" w:name="_Toc44596203"/>
      <w:bookmarkStart w:id="1832" w:name="_Toc44604598"/>
      <w:bookmarkStart w:id="1833" w:name="_Toc54169747"/>
      <w:bookmarkStart w:id="1834" w:name="_Toc56090036"/>
      <w:r>
        <w:rPr>
          <w:rFonts w:eastAsiaTheme="minorHAnsi"/>
        </w:rPr>
        <w:t>9.</w:t>
      </w:r>
      <w:r w:rsidR="00313B8B">
        <w:rPr>
          <w:rFonts w:eastAsiaTheme="minorHAnsi"/>
        </w:rPr>
        <w:t>5</w:t>
      </w:r>
      <w:r w:rsidR="006B6719">
        <w:rPr>
          <w:rFonts w:eastAsiaTheme="minorHAnsi"/>
        </w:rPr>
        <w:t>.1</w:t>
      </w:r>
      <w:r w:rsidR="00150704">
        <w:rPr>
          <w:rFonts w:eastAsiaTheme="minorHAnsi"/>
        </w:rPr>
        <w:t xml:space="preserve"> </w:t>
      </w:r>
      <w:r w:rsidR="00150704">
        <w:t>Estimated dietary exposures to rapeseed protein isolate</w:t>
      </w:r>
      <w:r w:rsidR="00C62BFC">
        <w:t xml:space="preserve"> based on proposed maximum use levels</w:t>
      </w:r>
      <w:bookmarkEnd w:id="1830"/>
      <w:bookmarkEnd w:id="1831"/>
      <w:bookmarkEnd w:id="1832"/>
      <w:bookmarkEnd w:id="1833"/>
      <w:bookmarkEnd w:id="1834"/>
    </w:p>
    <w:p w14:paraId="62DD3859" w14:textId="437AB71D" w:rsidR="006B6719" w:rsidRPr="00BA1BF6" w:rsidRDefault="006B6719" w:rsidP="006B6719">
      <w:r w:rsidRPr="00047F90">
        <w:t>Estimated daily dietary exposure</w:t>
      </w:r>
      <w:r>
        <w:t>s</w:t>
      </w:r>
      <w:r w:rsidRPr="00047F90">
        <w:t xml:space="preserve"> to </w:t>
      </w:r>
      <w:r>
        <w:t xml:space="preserve">rapeseed protein isolate </w:t>
      </w:r>
      <w:r w:rsidRPr="00047F90">
        <w:t xml:space="preserve">were calculated as mean and </w:t>
      </w:r>
      <w:r w:rsidRPr="00BA1BF6">
        <w:t>90</w:t>
      </w:r>
      <w:r w:rsidRPr="00BA1BF6">
        <w:rPr>
          <w:vertAlign w:val="superscript"/>
        </w:rPr>
        <w:t>th</w:t>
      </w:r>
      <w:r w:rsidRPr="00BA1BF6">
        <w:t xml:space="preserve"> percentile in g/day and g/kg body weight/day for Australian and New Zealand population groups as shown in Table </w:t>
      </w:r>
      <w:r>
        <w:t>A1</w:t>
      </w:r>
      <w:r w:rsidRPr="00BA1BF6">
        <w:t>.</w:t>
      </w:r>
      <w:r w:rsidR="005059C0">
        <w:t>4</w:t>
      </w:r>
      <w:r w:rsidRPr="00BA1BF6">
        <w:t>.</w:t>
      </w:r>
    </w:p>
    <w:p w14:paraId="5BC79BCD" w14:textId="77777777" w:rsidR="006B6719" w:rsidRPr="00BA1BF6" w:rsidRDefault="006B6719" w:rsidP="006B6719"/>
    <w:p w14:paraId="13B0EFC7" w14:textId="1445F2BE" w:rsidR="006B6719" w:rsidRPr="00C62BFC" w:rsidRDefault="006B6719" w:rsidP="006B6719">
      <w:r w:rsidRPr="00C62BFC">
        <w:t xml:space="preserve">Mean dietary exposure to rapeseed protein isolate based on </w:t>
      </w:r>
      <w:r w:rsidR="00150704" w:rsidRPr="00C62BFC">
        <w:t>proposed maximum</w:t>
      </w:r>
      <w:r w:rsidRPr="00C62BFC">
        <w:t xml:space="preserve"> use levels for Australians aged 2 years and above was 58 g/day. Whereas for New Zealand children 5-14 years and adults 15 years and above mean dietary exposures were 60.6 g/day and 59.5 g/day respectively. On a body weight basis, estimated mean daily exposure to rapeseed protein isolate for Australian aged 2 years and above was 0.95 g/kg bw/day and for New Zealand children and adults respectively were 1.68 g/kg bw/day and 0.78 g/kg bw/day.</w:t>
      </w:r>
    </w:p>
    <w:p w14:paraId="05EB52C7" w14:textId="77777777" w:rsidR="006B6719" w:rsidRPr="00C62BFC" w:rsidRDefault="006B6719" w:rsidP="006B6719"/>
    <w:p w14:paraId="2FD35996" w14:textId="77777777" w:rsidR="006B6719" w:rsidRPr="00BA1BF6" w:rsidRDefault="006B6719" w:rsidP="006B6719">
      <w:r w:rsidRPr="00C62BFC">
        <w:t>Estimated 90th percentile dietary exposure to rapeseed protein isolate for Australians aged 2 years and above was 109.9 g/day. Estimated 90th percentile dietary exposures to rapeseed protein isolate for New Zealand children 5-14 years and adults 15 years and above were 107.4 g/day and 121.5 g/day. When expressed on a body weight basis, estimated 90th percentile daily exposure to rapeseed protein isolate for the Australian aged 2 years and above, was 1.9 g/kg bw/day and 3.05 g/kg bw/day for New Zealand children and 1.56 g/kg bw/day for the adults.</w:t>
      </w:r>
    </w:p>
    <w:p w14:paraId="38375379" w14:textId="77777777" w:rsidR="006B6719" w:rsidRDefault="006B6719" w:rsidP="000256D8">
      <w:pPr>
        <w:widowControl/>
        <w:autoSpaceDE w:val="0"/>
        <w:autoSpaceDN w:val="0"/>
        <w:adjustRightInd w:val="0"/>
        <w:rPr>
          <w:rFonts w:eastAsiaTheme="minorHAnsi" w:cs="Arial"/>
          <w:color w:val="000000"/>
          <w:szCs w:val="22"/>
          <w:lang w:bidi="ar-SA"/>
        </w:rPr>
      </w:pPr>
    </w:p>
    <w:p w14:paraId="3BE08F1E" w14:textId="2B547FEA" w:rsidR="00725070" w:rsidRPr="001750EE" w:rsidRDefault="00725070" w:rsidP="00725070">
      <w:pPr>
        <w:keepNext/>
        <w:keepLines/>
        <w:rPr>
          <w:rFonts w:cs="Arial"/>
          <w:b/>
          <w:i/>
          <w:szCs w:val="22"/>
        </w:rPr>
      </w:pPr>
      <w:r w:rsidRPr="002B767F">
        <w:rPr>
          <w:rFonts w:cs="Arial"/>
          <w:b/>
          <w:i/>
          <w:szCs w:val="22"/>
        </w:rPr>
        <w:t>Table A1.</w:t>
      </w:r>
      <w:r w:rsidR="005059C0" w:rsidRPr="002B767F">
        <w:rPr>
          <w:rFonts w:cs="Arial"/>
          <w:b/>
          <w:i/>
          <w:szCs w:val="22"/>
        </w:rPr>
        <w:t>4</w:t>
      </w:r>
      <w:r w:rsidRPr="002B767F">
        <w:rPr>
          <w:rFonts w:cs="Arial"/>
          <w:b/>
          <w:i/>
          <w:szCs w:val="22"/>
        </w:rPr>
        <w:tab/>
      </w:r>
      <w:r w:rsidRPr="002B767F">
        <w:rPr>
          <w:rFonts w:cs="Arial"/>
          <w:i/>
          <w:szCs w:val="22"/>
        </w:rPr>
        <w:t>Estimated</w:t>
      </w:r>
      <w:r w:rsidRPr="001750EE">
        <w:rPr>
          <w:rFonts w:cs="Arial"/>
          <w:i/>
          <w:szCs w:val="22"/>
        </w:rPr>
        <w:t xml:space="preserve"> mean and high percentile dietary exposure to Rapeseed Protein Isolate (g/day; g/kg bw/day)</w:t>
      </w:r>
      <w:r>
        <w:rPr>
          <w:rFonts w:cs="Arial"/>
          <w:i/>
          <w:szCs w:val="22"/>
        </w:rPr>
        <w:t xml:space="preserve"> based on proposed maximum use levels</w:t>
      </w:r>
    </w:p>
    <w:p w14:paraId="30DF4EA9" w14:textId="77777777" w:rsidR="00725070" w:rsidRDefault="00725070" w:rsidP="00725070">
      <w:pPr>
        <w:keepNext/>
        <w:keepLines/>
        <w:rPr>
          <w:lang w:bidi="ar-SA"/>
        </w:rPr>
      </w:pPr>
    </w:p>
    <w:tbl>
      <w:tblPr>
        <w:tblW w:w="9598" w:type="dxa"/>
        <w:tblInd w:w="-5" w:type="dxa"/>
        <w:tblLayout w:type="fixed"/>
        <w:tblLook w:val="04A0" w:firstRow="1" w:lastRow="0" w:firstColumn="1" w:lastColumn="0" w:noHBand="0" w:noVBand="1"/>
        <w:tblCaption w:val="Table A1.4 Estimated mean and high percentile dietary exposure to Rapeseed Protein Isolate (g/day; g/kg bw/day)"/>
        <w:tblDescription w:val="Table A1.4  has 8 columns, the first column is the country, the second column is population age (years), the third column is the number of consumers, the fourth column is consumers as a proportion of respondents, the fifth column is the mean exposure in grams per day and sixth column is the mean exposure in grams per kilogram per body weight per day. The seventh column is 90th percentile exposure in grams per day and last column is the 90th percentile exposure in grams per kilogram per body weight per day. Estimated dietary exposures are based on the average of two days of data for Australia, and only one day of data for New Zealand. "/>
      </w:tblPr>
      <w:tblGrid>
        <w:gridCol w:w="1061"/>
        <w:gridCol w:w="1599"/>
        <w:gridCol w:w="1284"/>
        <w:gridCol w:w="1517"/>
        <w:gridCol w:w="1034"/>
        <w:gridCol w:w="1018"/>
        <w:gridCol w:w="1050"/>
        <w:gridCol w:w="1035"/>
      </w:tblGrid>
      <w:tr w:rsidR="00725070" w:rsidRPr="000D2A80" w14:paraId="4C083D29" w14:textId="77777777" w:rsidTr="00725070">
        <w:trPr>
          <w:trHeight w:val="300"/>
        </w:trPr>
        <w:tc>
          <w:tcPr>
            <w:tcW w:w="1061" w:type="dxa"/>
            <w:vMerge w:val="restart"/>
            <w:tcBorders>
              <w:top w:val="single" w:sz="4" w:space="0" w:color="auto"/>
              <w:left w:val="single" w:sz="4" w:space="0" w:color="auto"/>
              <w:right w:val="single" w:sz="4" w:space="0" w:color="auto"/>
            </w:tcBorders>
            <w:vAlign w:val="bottom"/>
          </w:tcPr>
          <w:p w14:paraId="01D97E4B" w14:textId="77777777" w:rsidR="00725070" w:rsidRPr="009553A9" w:rsidRDefault="00725070" w:rsidP="00725070">
            <w:pPr>
              <w:pStyle w:val="FSTableText"/>
              <w:keepNext/>
              <w:keepLines/>
              <w:rPr>
                <w:rFonts w:ascii="Calibri" w:hAnsi="Calibri" w:cs="Calibri"/>
                <w:b/>
                <w:color w:val="000000"/>
                <w:lang w:eastAsia="en-GB"/>
              </w:rPr>
            </w:pPr>
            <w:r w:rsidRPr="00DD2C9F">
              <w:rPr>
                <w:b/>
                <w:lang w:bidi="ar-SA"/>
              </w:rPr>
              <w:t>Country*</w:t>
            </w:r>
          </w:p>
        </w:tc>
        <w:tc>
          <w:tcPr>
            <w:tcW w:w="1599" w:type="dxa"/>
            <w:vMerge w:val="restart"/>
            <w:tcBorders>
              <w:top w:val="single" w:sz="4" w:space="0" w:color="auto"/>
              <w:left w:val="single" w:sz="4" w:space="0" w:color="auto"/>
              <w:right w:val="single" w:sz="4" w:space="0" w:color="auto"/>
            </w:tcBorders>
            <w:shd w:val="clear" w:color="auto" w:fill="auto"/>
            <w:noWrap/>
            <w:vAlign w:val="bottom"/>
            <w:hideMark/>
          </w:tcPr>
          <w:p w14:paraId="0FCEAF02" w14:textId="77777777" w:rsidR="00725070" w:rsidRPr="009553A9" w:rsidRDefault="00725070" w:rsidP="00725070">
            <w:pPr>
              <w:pStyle w:val="FSTableText"/>
              <w:keepNext/>
              <w:keepLines/>
              <w:rPr>
                <w:rFonts w:ascii="Calibri" w:hAnsi="Calibri" w:cs="Calibri"/>
                <w:b/>
                <w:color w:val="000000"/>
                <w:lang w:eastAsia="en-GB"/>
              </w:rPr>
            </w:pPr>
            <w:r w:rsidRPr="00DD2C9F">
              <w:rPr>
                <w:b/>
                <w:lang w:bidi="ar-SA"/>
              </w:rPr>
              <w:t>Population age (years)</w:t>
            </w:r>
          </w:p>
        </w:tc>
        <w:tc>
          <w:tcPr>
            <w:tcW w:w="1284" w:type="dxa"/>
            <w:vMerge w:val="restart"/>
            <w:tcBorders>
              <w:top w:val="single" w:sz="4" w:space="0" w:color="auto"/>
              <w:left w:val="nil"/>
              <w:bottom w:val="single" w:sz="4" w:space="0" w:color="auto"/>
              <w:right w:val="single" w:sz="4" w:space="0" w:color="auto"/>
            </w:tcBorders>
            <w:vAlign w:val="bottom"/>
          </w:tcPr>
          <w:p w14:paraId="071C9635" w14:textId="77777777" w:rsidR="00725070" w:rsidRDefault="00725070" w:rsidP="00725070">
            <w:pPr>
              <w:pStyle w:val="FSTableText"/>
              <w:keepNext/>
              <w:keepLines/>
              <w:jc w:val="right"/>
              <w:rPr>
                <w:b/>
                <w:lang w:bidi="ar-SA"/>
              </w:rPr>
            </w:pPr>
            <w:r>
              <w:rPr>
                <w:b/>
                <w:lang w:bidi="ar-SA"/>
              </w:rPr>
              <w:t>Number of consumers</w:t>
            </w:r>
          </w:p>
        </w:tc>
        <w:tc>
          <w:tcPr>
            <w:tcW w:w="1517" w:type="dxa"/>
            <w:vMerge w:val="restart"/>
            <w:tcBorders>
              <w:top w:val="single" w:sz="4" w:space="0" w:color="auto"/>
              <w:left w:val="single" w:sz="4" w:space="0" w:color="auto"/>
              <w:bottom w:val="single" w:sz="4" w:space="0" w:color="auto"/>
              <w:right w:val="single" w:sz="4" w:space="0" w:color="auto"/>
            </w:tcBorders>
          </w:tcPr>
          <w:p w14:paraId="6EBB1564" w14:textId="77777777" w:rsidR="00725070" w:rsidRPr="00341304" w:rsidRDefault="00725070" w:rsidP="00725070">
            <w:pPr>
              <w:pStyle w:val="FSTableText"/>
              <w:keepNext/>
              <w:keepLines/>
              <w:jc w:val="right"/>
              <w:rPr>
                <w:b/>
                <w:lang w:bidi="ar-SA"/>
              </w:rPr>
            </w:pPr>
            <w:r w:rsidRPr="004C5AB6">
              <w:rPr>
                <w:b/>
                <w:lang w:bidi="ar-SA"/>
              </w:rPr>
              <w:t>Consumers as a proportion of respondents</w:t>
            </w:r>
            <w:r>
              <w:rPr>
                <w:b/>
                <w:lang w:bidi="ar-SA"/>
              </w:rPr>
              <w:t xml:space="preserve"> (%)</w:t>
            </w:r>
          </w:p>
        </w:tc>
        <w:tc>
          <w:tcPr>
            <w:tcW w:w="20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3088A1" w14:textId="77777777" w:rsidR="00725070" w:rsidRPr="00DD2C9F" w:rsidRDefault="00725070" w:rsidP="00725070">
            <w:pPr>
              <w:pStyle w:val="FSTableText"/>
              <w:keepNext/>
              <w:keepLines/>
              <w:jc w:val="center"/>
              <w:rPr>
                <w:b/>
                <w:lang w:bidi="ar-SA"/>
              </w:rPr>
            </w:pPr>
            <w:r w:rsidRPr="00DD2C9F">
              <w:rPr>
                <w:b/>
                <w:lang w:bidi="ar-SA"/>
              </w:rPr>
              <w:t>Mean</w:t>
            </w:r>
          </w:p>
        </w:tc>
        <w:tc>
          <w:tcPr>
            <w:tcW w:w="20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F64029" w14:textId="77777777" w:rsidR="00725070" w:rsidRPr="00DD2C9F" w:rsidRDefault="00725070" w:rsidP="00725070">
            <w:pPr>
              <w:pStyle w:val="FSTableText"/>
              <w:keepNext/>
              <w:keepLines/>
              <w:jc w:val="center"/>
              <w:rPr>
                <w:b/>
                <w:lang w:bidi="ar-SA"/>
              </w:rPr>
            </w:pPr>
            <w:r w:rsidRPr="00DD2C9F">
              <w:rPr>
                <w:b/>
                <w:lang w:bidi="ar-SA"/>
              </w:rPr>
              <w:t>90th Percentile</w:t>
            </w:r>
          </w:p>
        </w:tc>
      </w:tr>
      <w:tr w:rsidR="00725070" w:rsidRPr="000D2A80" w14:paraId="51F4FED0" w14:textId="77777777" w:rsidTr="00725070">
        <w:trPr>
          <w:trHeight w:val="463"/>
        </w:trPr>
        <w:tc>
          <w:tcPr>
            <w:tcW w:w="1061" w:type="dxa"/>
            <w:vMerge/>
            <w:tcBorders>
              <w:left w:val="single" w:sz="4" w:space="0" w:color="auto"/>
              <w:bottom w:val="single" w:sz="4" w:space="0" w:color="auto"/>
              <w:right w:val="single" w:sz="4" w:space="0" w:color="auto"/>
            </w:tcBorders>
          </w:tcPr>
          <w:p w14:paraId="731F26AF" w14:textId="77777777" w:rsidR="00725070" w:rsidRPr="00DD2C9F" w:rsidRDefault="00725070" w:rsidP="00725070">
            <w:pPr>
              <w:pStyle w:val="FSTableText"/>
              <w:keepNext/>
              <w:keepLines/>
              <w:rPr>
                <w:b/>
                <w:lang w:bidi="ar-SA"/>
              </w:rPr>
            </w:pPr>
          </w:p>
        </w:tc>
        <w:tc>
          <w:tcPr>
            <w:tcW w:w="1599" w:type="dxa"/>
            <w:vMerge/>
            <w:tcBorders>
              <w:left w:val="single" w:sz="4" w:space="0" w:color="auto"/>
              <w:bottom w:val="single" w:sz="4" w:space="0" w:color="auto"/>
              <w:right w:val="single" w:sz="4" w:space="0" w:color="auto"/>
            </w:tcBorders>
            <w:shd w:val="clear" w:color="auto" w:fill="auto"/>
            <w:noWrap/>
            <w:vAlign w:val="bottom"/>
            <w:hideMark/>
          </w:tcPr>
          <w:p w14:paraId="0D1BEAC8" w14:textId="77777777" w:rsidR="00725070" w:rsidRPr="00DD2C9F" w:rsidRDefault="00725070" w:rsidP="00725070">
            <w:pPr>
              <w:pStyle w:val="FSTableText"/>
              <w:keepNext/>
              <w:keepLines/>
              <w:rPr>
                <w:b/>
                <w:lang w:bidi="ar-SA"/>
              </w:rPr>
            </w:pPr>
          </w:p>
        </w:tc>
        <w:tc>
          <w:tcPr>
            <w:tcW w:w="1284" w:type="dxa"/>
            <w:vMerge/>
            <w:tcBorders>
              <w:top w:val="single" w:sz="4" w:space="0" w:color="auto"/>
              <w:left w:val="nil"/>
              <w:bottom w:val="single" w:sz="4" w:space="0" w:color="auto"/>
              <w:right w:val="single" w:sz="4" w:space="0" w:color="auto"/>
            </w:tcBorders>
          </w:tcPr>
          <w:p w14:paraId="030AC105" w14:textId="77777777" w:rsidR="00725070" w:rsidRDefault="00725070" w:rsidP="00725070">
            <w:pPr>
              <w:pStyle w:val="FSTableText"/>
              <w:keepNext/>
              <w:keepLines/>
              <w:jc w:val="right"/>
              <w:rPr>
                <w:b/>
                <w:lang w:bidi="ar-SA"/>
              </w:rPr>
            </w:pPr>
          </w:p>
        </w:tc>
        <w:tc>
          <w:tcPr>
            <w:tcW w:w="1517" w:type="dxa"/>
            <w:vMerge/>
            <w:tcBorders>
              <w:top w:val="single" w:sz="4" w:space="0" w:color="auto"/>
              <w:left w:val="single" w:sz="4" w:space="0" w:color="auto"/>
              <w:bottom w:val="single" w:sz="4" w:space="0" w:color="auto"/>
              <w:right w:val="single" w:sz="4" w:space="0" w:color="auto"/>
            </w:tcBorders>
          </w:tcPr>
          <w:p w14:paraId="4E9B7F6F" w14:textId="77777777" w:rsidR="00725070" w:rsidRPr="00066B6A" w:rsidRDefault="00725070" w:rsidP="00725070">
            <w:pPr>
              <w:pStyle w:val="FSTableText"/>
              <w:keepNext/>
              <w:keepLines/>
              <w:jc w:val="right"/>
              <w:rPr>
                <w:lang w:bidi="ar-SA"/>
              </w:rPr>
            </w:pPr>
          </w:p>
        </w:tc>
        <w:tc>
          <w:tcPr>
            <w:tcW w:w="1034" w:type="dxa"/>
            <w:tcBorders>
              <w:top w:val="nil"/>
              <w:left w:val="single" w:sz="4" w:space="0" w:color="auto"/>
              <w:bottom w:val="single" w:sz="4" w:space="0" w:color="auto"/>
              <w:right w:val="single" w:sz="4" w:space="0" w:color="auto"/>
            </w:tcBorders>
            <w:shd w:val="clear" w:color="auto" w:fill="auto"/>
            <w:vAlign w:val="bottom"/>
            <w:hideMark/>
          </w:tcPr>
          <w:p w14:paraId="3E749C05" w14:textId="77777777" w:rsidR="00725070" w:rsidRPr="00DD2C9F" w:rsidRDefault="00725070" w:rsidP="00725070">
            <w:pPr>
              <w:pStyle w:val="FSTableText"/>
              <w:keepNext/>
              <w:keepLines/>
              <w:jc w:val="right"/>
              <w:rPr>
                <w:b/>
                <w:lang w:bidi="ar-SA"/>
              </w:rPr>
            </w:pPr>
            <w:r w:rsidRPr="00C56604">
              <w:rPr>
                <w:b/>
                <w:lang w:bidi="ar-SA"/>
              </w:rPr>
              <w:t>g/day</w:t>
            </w:r>
          </w:p>
        </w:tc>
        <w:tc>
          <w:tcPr>
            <w:tcW w:w="1018" w:type="dxa"/>
            <w:tcBorders>
              <w:top w:val="nil"/>
              <w:left w:val="nil"/>
              <w:bottom w:val="single" w:sz="4" w:space="0" w:color="auto"/>
              <w:right w:val="single" w:sz="4" w:space="0" w:color="auto"/>
            </w:tcBorders>
            <w:shd w:val="clear" w:color="auto" w:fill="auto"/>
            <w:vAlign w:val="bottom"/>
            <w:hideMark/>
          </w:tcPr>
          <w:p w14:paraId="1A923C5E" w14:textId="77777777" w:rsidR="00725070" w:rsidRPr="00DD2C9F" w:rsidRDefault="00725070" w:rsidP="00725070">
            <w:pPr>
              <w:pStyle w:val="FSTableText"/>
              <w:keepNext/>
              <w:keepLines/>
              <w:jc w:val="right"/>
              <w:rPr>
                <w:b/>
                <w:lang w:bidi="ar-SA"/>
              </w:rPr>
            </w:pPr>
            <w:r w:rsidRPr="00C56604">
              <w:rPr>
                <w:b/>
                <w:lang w:bidi="ar-SA"/>
              </w:rPr>
              <w:t>g/kg bw/day</w:t>
            </w:r>
          </w:p>
        </w:tc>
        <w:tc>
          <w:tcPr>
            <w:tcW w:w="1050" w:type="dxa"/>
            <w:tcBorders>
              <w:top w:val="nil"/>
              <w:left w:val="nil"/>
              <w:bottom w:val="single" w:sz="4" w:space="0" w:color="auto"/>
              <w:right w:val="single" w:sz="4" w:space="0" w:color="auto"/>
            </w:tcBorders>
            <w:shd w:val="clear" w:color="auto" w:fill="auto"/>
            <w:vAlign w:val="bottom"/>
            <w:hideMark/>
          </w:tcPr>
          <w:p w14:paraId="77229FBD" w14:textId="77777777" w:rsidR="00725070" w:rsidRPr="00DD2C9F" w:rsidRDefault="00725070" w:rsidP="00725070">
            <w:pPr>
              <w:pStyle w:val="FSTableText"/>
              <w:keepNext/>
              <w:keepLines/>
              <w:jc w:val="right"/>
              <w:rPr>
                <w:b/>
                <w:lang w:bidi="ar-SA"/>
              </w:rPr>
            </w:pPr>
            <w:r w:rsidRPr="00C56604">
              <w:rPr>
                <w:b/>
                <w:lang w:bidi="ar-SA"/>
              </w:rPr>
              <w:t>g/day</w:t>
            </w:r>
          </w:p>
        </w:tc>
        <w:tc>
          <w:tcPr>
            <w:tcW w:w="1035" w:type="dxa"/>
            <w:tcBorders>
              <w:top w:val="nil"/>
              <w:left w:val="nil"/>
              <w:bottom w:val="single" w:sz="4" w:space="0" w:color="auto"/>
              <w:right w:val="single" w:sz="4" w:space="0" w:color="auto"/>
            </w:tcBorders>
            <w:shd w:val="clear" w:color="auto" w:fill="auto"/>
            <w:vAlign w:val="bottom"/>
            <w:hideMark/>
          </w:tcPr>
          <w:p w14:paraId="0656FB57" w14:textId="77777777" w:rsidR="00725070" w:rsidRPr="00DD2C9F" w:rsidRDefault="00725070" w:rsidP="00725070">
            <w:pPr>
              <w:pStyle w:val="FSTableText"/>
              <w:keepNext/>
              <w:keepLines/>
              <w:jc w:val="right"/>
              <w:rPr>
                <w:b/>
                <w:lang w:bidi="ar-SA"/>
              </w:rPr>
            </w:pPr>
            <w:r w:rsidRPr="00C56604">
              <w:rPr>
                <w:b/>
                <w:lang w:bidi="ar-SA"/>
              </w:rPr>
              <w:t>g/kg bw/day</w:t>
            </w:r>
          </w:p>
        </w:tc>
      </w:tr>
      <w:tr w:rsidR="00725070" w:rsidRPr="000D2A80" w14:paraId="052EC1C9" w14:textId="77777777" w:rsidTr="00725070">
        <w:trPr>
          <w:trHeight w:val="300"/>
        </w:trPr>
        <w:tc>
          <w:tcPr>
            <w:tcW w:w="1061" w:type="dxa"/>
            <w:tcBorders>
              <w:top w:val="nil"/>
              <w:left w:val="single" w:sz="4" w:space="0" w:color="auto"/>
              <w:bottom w:val="single" w:sz="4" w:space="0" w:color="auto"/>
              <w:right w:val="single" w:sz="4" w:space="0" w:color="auto"/>
            </w:tcBorders>
          </w:tcPr>
          <w:p w14:paraId="3EE052F8" w14:textId="77777777" w:rsidR="00725070" w:rsidRPr="00DD2C9F" w:rsidRDefault="00725070" w:rsidP="00725070">
            <w:pPr>
              <w:pStyle w:val="FSTableText"/>
              <w:keepNext/>
              <w:keepLines/>
              <w:rPr>
                <w:lang w:bidi="ar-SA"/>
              </w:rPr>
            </w:pPr>
            <w:r w:rsidRPr="00DD2C9F">
              <w:rPr>
                <w:lang w:bidi="ar-SA"/>
              </w:rPr>
              <w:t>Australia</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BD307" w14:textId="77777777" w:rsidR="00725070" w:rsidRPr="00DD2C9F" w:rsidRDefault="00725070" w:rsidP="00725070">
            <w:pPr>
              <w:pStyle w:val="FSTableText"/>
              <w:keepNext/>
              <w:keepLines/>
              <w:rPr>
                <w:lang w:bidi="ar-SA"/>
              </w:rPr>
            </w:pPr>
            <w:r w:rsidRPr="00DD2C9F">
              <w:rPr>
                <w:lang w:bidi="ar-SA"/>
              </w:rPr>
              <w:t>2 years and above</w:t>
            </w:r>
          </w:p>
        </w:tc>
        <w:tc>
          <w:tcPr>
            <w:tcW w:w="1284" w:type="dxa"/>
            <w:tcBorders>
              <w:top w:val="single" w:sz="4" w:space="0" w:color="auto"/>
              <w:left w:val="nil"/>
              <w:bottom w:val="single" w:sz="4" w:space="0" w:color="auto"/>
              <w:right w:val="single" w:sz="4" w:space="0" w:color="auto"/>
            </w:tcBorders>
            <w:vAlign w:val="center"/>
          </w:tcPr>
          <w:p w14:paraId="123B92B4" w14:textId="77777777" w:rsidR="00725070" w:rsidRDefault="00725070" w:rsidP="00725070">
            <w:pPr>
              <w:pStyle w:val="FSTableText"/>
              <w:keepNext/>
              <w:keepLines/>
              <w:jc w:val="right"/>
              <w:rPr>
                <w:lang w:bidi="ar-SA"/>
              </w:rPr>
            </w:pPr>
            <w:r>
              <w:rPr>
                <w:lang w:bidi="ar-SA"/>
              </w:rPr>
              <w:t>7735</w:t>
            </w:r>
          </w:p>
        </w:tc>
        <w:tc>
          <w:tcPr>
            <w:tcW w:w="1517" w:type="dxa"/>
            <w:tcBorders>
              <w:top w:val="single" w:sz="4" w:space="0" w:color="auto"/>
              <w:left w:val="single" w:sz="4" w:space="0" w:color="auto"/>
              <w:bottom w:val="single" w:sz="4" w:space="0" w:color="auto"/>
              <w:right w:val="single" w:sz="4" w:space="0" w:color="auto"/>
            </w:tcBorders>
            <w:vAlign w:val="center"/>
          </w:tcPr>
          <w:p w14:paraId="1277D118" w14:textId="77777777" w:rsidR="00725070" w:rsidRPr="00C56604" w:rsidRDefault="00725070" w:rsidP="00725070">
            <w:pPr>
              <w:pStyle w:val="FSTableText"/>
              <w:keepNext/>
              <w:keepLines/>
              <w:tabs>
                <w:tab w:val="decimal" w:pos="1134"/>
              </w:tabs>
              <w:rPr>
                <w:lang w:bidi="ar-SA"/>
              </w:rPr>
            </w:pPr>
            <w:r>
              <w:rPr>
                <w:lang w:bidi="ar-SA"/>
              </w:rPr>
              <w:t>100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199D470F" w14:textId="77777777" w:rsidR="00725070" w:rsidRPr="000256D8" w:rsidRDefault="00725070" w:rsidP="00725070">
            <w:pPr>
              <w:pStyle w:val="FSTableText"/>
              <w:keepNext/>
              <w:keepLines/>
              <w:jc w:val="right"/>
              <w:rPr>
                <w:lang w:bidi="ar-SA"/>
              </w:rPr>
            </w:pPr>
            <w:r w:rsidRPr="000256D8">
              <w:rPr>
                <w:lang w:bidi="ar-SA"/>
              </w:rPr>
              <w:t>58.0</w:t>
            </w:r>
          </w:p>
        </w:tc>
        <w:tc>
          <w:tcPr>
            <w:tcW w:w="1018" w:type="dxa"/>
            <w:tcBorders>
              <w:top w:val="nil"/>
              <w:left w:val="nil"/>
              <w:bottom w:val="single" w:sz="4" w:space="0" w:color="auto"/>
              <w:right w:val="single" w:sz="4" w:space="0" w:color="auto"/>
            </w:tcBorders>
            <w:shd w:val="clear" w:color="auto" w:fill="auto"/>
            <w:noWrap/>
            <w:vAlign w:val="center"/>
          </w:tcPr>
          <w:p w14:paraId="41BBCCE9" w14:textId="77777777" w:rsidR="00725070" w:rsidRPr="000256D8" w:rsidRDefault="00725070" w:rsidP="00725070">
            <w:pPr>
              <w:pStyle w:val="FSTableText"/>
              <w:keepNext/>
              <w:keepLines/>
              <w:jc w:val="right"/>
              <w:rPr>
                <w:lang w:bidi="ar-SA"/>
              </w:rPr>
            </w:pPr>
            <w:r w:rsidRPr="000256D8">
              <w:rPr>
                <w:lang w:bidi="ar-SA"/>
              </w:rPr>
              <w:t>0.95</w:t>
            </w:r>
          </w:p>
        </w:tc>
        <w:tc>
          <w:tcPr>
            <w:tcW w:w="1050" w:type="dxa"/>
            <w:tcBorders>
              <w:top w:val="nil"/>
              <w:left w:val="nil"/>
              <w:bottom w:val="single" w:sz="4" w:space="0" w:color="auto"/>
              <w:right w:val="single" w:sz="4" w:space="0" w:color="auto"/>
            </w:tcBorders>
            <w:shd w:val="clear" w:color="auto" w:fill="auto"/>
            <w:noWrap/>
            <w:vAlign w:val="center"/>
          </w:tcPr>
          <w:p w14:paraId="5CB0E4E7" w14:textId="77777777" w:rsidR="00725070" w:rsidRPr="000256D8" w:rsidRDefault="00725070" w:rsidP="00725070">
            <w:pPr>
              <w:pStyle w:val="FSTableText"/>
              <w:keepNext/>
              <w:keepLines/>
              <w:jc w:val="right"/>
              <w:rPr>
                <w:lang w:bidi="ar-SA"/>
              </w:rPr>
            </w:pPr>
            <w:r w:rsidRPr="000256D8">
              <w:rPr>
                <w:lang w:bidi="ar-SA"/>
              </w:rPr>
              <w:t>109.9</w:t>
            </w:r>
          </w:p>
        </w:tc>
        <w:tc>
          <w:tcPr>
            <w:tcW w:w="1035" w:type="dxa"/>
            <w:tcBorders>
              <w:top w:val="nil"/>
              <w:left w:val="nil"/>
              <w:bottom w:val="single" w:sz="4" w:space="0" w:color="auto"/>
              <w:right w:val="single" w:sz="4" w:space="0" w:color="auto"/>
            </w:tcBorders>
            <w:shd w:val="clear" w:color="auto" w:fill="auto"/>
            <w:noWrap/>
            <w:vAlign w:val="center"/>
          </w:tcPr>
          <w:p w14:paraId="094A5F18" w14:textId="77777777" w:rsidR="00725070" w:rsidRPr="000256D8" w:rsidRDefault="00725070" w:rsidP="00725070">
            <w:pPr>
              <w:pStyle w:val="FSTableText"/>
              <w:keepNext/>
              <w:keepLines/>
              <w:jc w:val="right"/>
              <w:rPr>
                <w:lang w:bidi="ar-SA"/>
              </w:rPr>
            </w:pPr>
            <w:r w:rsidRPr="000256D8">
              <w:rPr>
                <w:lang w:bidi="ar-SA"/>
              </w:rPr>
              <w:t>1.90</w:t>
            </w:r>
          </w:p>
        </w:tc>
      </w:tr>
      <w:tr w:rsidR="00725070" w:rsidRPr="000D2A80" w14:paraId="1B84FA36" w14:textId="77777777" w:rsidTr="00725070">
        <w:trPr>
          <w:trHeight w:val="300"/>
        </w:trPr>
        <w:tc>
          <w:tcPr>
            <w:tcW w:w="1061" w:type="dxa"/>
            <w:vMerge w:val="restart"/>
            <w:tcBorders>
              <w:top w:val="nil"/>
              <w:left w:val="single" w:sz="4" w:space="0" w:color="auto"/>
              <w:right w:val="single" w:sz="4" w:space="0" w:color="auto"/>
            </w:tcBorders>
          </w:tcPr>
          <w:p w14:paraId="6DCCF9FC" w14:textId="77777777" w:rsidR="00725070" w:rsidRPr="00DD2C9F" w:rsidRDefault="00725070" w:rsidP="00725070">
            <w:pPr>
              <w:pStyle w:val="FSTableText"/>
              <w:keepNext/>
              <w:keepLines/>
              <w:rPr>
                <w:lang w:bidi="ar-SA"/>
              </w:rPr>
            </w:pPr>
            <w:r w:rsidRPr="00DD2C9F">
              <w:rPr>
                <w:lang w:bidi="ar-SA"/>
              </w:rPr>
              <w:t>New Zealand</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6B9F1AB3" w14:textId="77777777" w:rsidR="00725070" w:rsidRPr="00DD2C9F" w:rsidRDefault="00725070" w:rsidP="00725070">
            <w:pPr>
              <w:pStyle w:val="FSTableText"/>
              <w:keepNext/>
              <w:keepLines/>
              <w:rPr>
                <w:lang w:bidi="ar-SA"/>
              </w:rPr>
            </w:pPr>
            <w:r w:rsidRPr="00DD2C9F">
              <w:rPr>
                <w:lang w:bidi="ar-SA"/>
              </w:rPr>
              <w:t>Children 5-14 years</w:t>
            </w:r>
          </w:p>
        </w:tc>
        <w:tc>
          <w:tcPr>
            <w:tcW w:w="1284" w:type="dxa"/>
            <w:tcBorders>
              <w:top w:val="single" w:sz="4" w:space="0" w:color="auto"/>
              <w:left w:val="nil"/>
              <w:bottom w:val="single" w:sz="4" w:space="0" w:color="auto"/>
              <w:right w:val="single" w:sz="4" w:space="0" w:color="auto"/>
            </w:tcBorders>
            <w:vAlign w:val="center"/>
          </w:tcPr>
          <w:p w14:paraId="51D0436E" w14:textId="77777777" w:rsidR="00725070" w:rsidRDefault="00725070" w:rsidP="00725070">
            <w:pPr>
              <w:pStyle w:val="FSTableText"/>
              <w:keepNext/>
              <w:keepLines/>
              <w:jc w:val="right"/>
              <w:rPr>
                <w:lang w:bidi="ar-SA"/>
              </w:rPr>
            </w:pPr>
            <w:r>
              <w:rPr>
                <w:lang w:bidi="ar-SA"/>
              </w:rPr>
              <w:t>3275</w:t>
            </w:r>
          </w:p>
        </w:tc>
        <w:tc>
          <w:tcPr>
            <w:tcW w:w="1517" w:type="dxa"/>
            <w:tcBorders>
              <w:top w:val="single" w:sz="4" w:space="0" w:color="auto"/>
              <w:left w:val="single" w:sz="4" w:space="0" w:color="auto"/>
              <w:bottom w:val="single" w:sz="4" w:space="0" w:color="auto"/>
              <w:right w:val="single" w:sz="4" w:space="0" w:color="auto"/>
            </w:tcBorders>
            <w:vAlign w:val="center"/>
          </w:tcPr>
          <w:p w14:paraId="3DB7BD49" w14:textId="77777777" w:rsidR="00725070" w:rsidRPr="00C56604" w:rsidRDefault="00725070" w:rsidP="00725070">
            <w:pPr>
              <w:pStyle w:val="FSTableText"/>
              <w:keepNext/>
              <w:keepLines/>
              <w:tabs>
                <w:tab w:val="decimal" w:pos="1134"/>
              </w:tabs>
              <w:rPr>
                <w:lang w:bidi="ar-SA"/>
              </w:rPr>
            </w:pPr>
            <w:r>
              <w:rPr>
                <w:lang w:bidi="ar-SA"/>
              </w:rPr>
              <w:t>100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4CE569B1" w14:textId="77777777" w:rsidR="00725070" w:rsidRPr="000256D8" w:rsidRDefault="00725070" w:rsidP="00725070">
            <w:pPr>
              <w:pStyle w:val="FSTableText"/>
              <w:keepNext/>
              <w:keepLines/>
              <w:jc w:val="right"/>
              <w:rPr>
                <w:lang w:bidi="ar-SA"/>
              </w:rPr>
            </w:pPr>
            <w:r w:rsidRPr="000256D8">
              <w:rPr>
                <w:lang w:bidi="ar-SA"/>
              </w:rPr>
              <w:t>60.6</w:t>
            </w:r>
          </w:p>
        </w:tc>
        <w:tc>
          <w:tcPr>
            <w:tcW w:w="1018" w:type="dxa"/>
            <w:tcBorders>
              <w:top w:val="nil"/>
              <w:left w:val="nil"/>
              <w:bottom w:val="single" w:sz="4" w:space="0" w:color="auto"/>
              <w:right w:val="single" w:sz="4" w:space="0" w:color="auto"/>
            </w:tcBorders>
            <w:shd w:val="clear" w:color="auto" w:fill="auto"/>
            <w:noWrap/>
            <w:vAlign w:val="center"/>
          </w:tcPr>
          <w:p w14:paraId="181492C8" w14:textId="77777777" w:rsidR="00725070" w:rsidRPr="000256D8" w:rsidRDefault="00725070" w:rsidP="00725070">
            <w:pPr>
              <w:pStyle w:val="FSTableText"/>
              <w:keepNext/>
              <w:keepLines/>
              <w:jc w:val="right"/>
              <w:rPr>
                <w:lang w:bidi="ar-SA"/>
              </w:rPr>
            </w:pPr>
            <w:r w:rsidRPr="000256D8">
              <w:rPr>
                <w:lang w:bidi="ar-SA"/>
              </w:rPr>
              <w:t>1.68</w:t>
            </w:r>
          </w:p>
        </w:tc>
        <w:tc>
          <w:tcPr>
            <w:tcW w:w="1050" w:type="dxa"/>
            <w:tcBorders>
              <w:top w:val="nil"/>
              <w:left w:val="nil"/>
              <w:bottom w:val="single" w:sz="4" w:space="0" w:color="auto"/>
              <w:right w:val="single" w:sz="4" w:space="0" w:color="auto"/>
            </w:tcBorders>
            <w:shd w:val="clear" w:color="auto" w:fill="auto"/>
            <w:noWrap/>
            <w:vAlign w:val="center"/>
          </w:tcPr>
          <w:p w14:paraId="684FB036" w14:textId="77777777" w:rsidR="00725070" w:rsidRPr="000256D8" w:rsidRDefault="00725070" w:rsidP="00725070">
            <w:pPr>
              <w:pStyle w:val="FSTableText"/>
              <w:keepNext/>
              <w:keepLines/>
              <w:jc w:val="right"/>
              <w:rPr>
                <w:lang w:bidi="ar-SA"/>
              </w:rPr>
            </w:pPr>
            <w:r w:rsidRPr="000256D8">
              <w:rPr>
                <w:lang w:bidi="ar-SA"/>
              </w:rPr>
              <w:t>107.4</w:t>
            </w:r>
          </w:p>
        </w:tc>
        <w:tc>
          <w:tcPr>
            <w:tcW w:w="1035" w:type="dxa"/>
            <w:tcBorders>
              <w:top w:val="nil"/>
              <w:left w:val="nil"/>
              <w:bottom w:val="single" w:sz="4" w:space="0" w:color="auto"/>
              <w:right w:val="single" w:sz="4" w:space="0" w:color="auto"/>
            </w:tcBorders>
            <w:shd w:val="clear" w:color="auto" w:fill="auto"/>
            <w:noWrap/>
            <w:vAlign w:val="center"/>
          </w:tcPr>
          <w:p w14:paraId="5427F23D" w14:textId="77777777" w:rsidR="00725070" w:rsidRPr="000256D8" w:rsidRDefault="00725070" w:rsidP="00725070">
            <w:pPr>
              <w:pStyle w:val="FSTableText"/>
              <w:keepNext/>
              <w:keepLines/>
              <w:jc w:val="right"/>
              <w:rPr>
                <w:lang w:bidi="ar-SA"/>
              </w:rPr>
            </w:pPr>
            <w:r w:rsidRPr="000256D8">
              <w:rPr>
                <w:lang w:bidi="ar-SA"/>
              </w:rPr>
              <w:t>3.05</w:t>
            </w:r>
          </w:p>
        </w:tc>
      </w:tr>
      <w:tr w:rsidR="00725070" w:rsidRPr="000D2A80" w14:paraId="0966B434" w14:textId="77777777" w:rsidTr="00725070">
        <w:trPr>
          <w:trHeight w:val="300"/>
        </w:trPr>
        <w:tc>
          <w:tcPr>
            <w:tcW w:w="1061" w:type="dxa"/>
            <w:vMerge/>
            <w:tcBorders>
              <w:left w:val="single" w:sz="4" w:space="0" w:color="auto"/>
              <w:bottom w:val="single" w:sz="4" w:space="0" w:color="auto"/>
              <w:right w:val="single" w:sz="4" w:space="0" w:color="auto"/>
            </w:tcBorders>
          </w:tcPr>
          <w:p w14:paraId="577F9A3F" w14:textId="77777777" w:rsidR="00725070" w:rsidRPr="00DD2C9F" w:rsidRDefault="00725070" w:rsidP="00725070">
            <w:pPr>
              <w:pStyle w:val="FSTableText"/>
              <w:keepNext/>
              <w:keepLines/>
              <w:rPr>
                <w:lang w:bidi="ar-SA"/>
              </w:rPr>
            </w:pP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554D384E" w14:textId="77777777" w:rsidR="00725070" w:rsidRPr="00DD2C9F" w:rsidRDefault="00725070" w:rsidP="00725070">
            <w:pPr>
              <w:pStyle w:val="FSTableText"/>
              <w:keepNext/>
              <w:keepLines/>
              <w:rPr>
                <w:lang w:bidi="ar-SA"/>
              </w:rPr>
            </w:pPr>
            <w:r w:rsidRPr="00DD2C9F">
              <w:rPr>
                <w:lang w:bidi="ar-SA"/>
              </w:rPr>
              <w:t>15 years and above</w:t>
            </w:r>
          </w:p>
        </w:tc>
        <w:tc>
          <w:tcPr>
            <w:tcW w:w="1284" w:type="dxa"/>
            <w:tcBorders>
              <w:top w:val="single" w:sz="4" w:space="0" w:color="auto"/>
              <w:left w:val="nil"/>
              <w:bottom w:val="single" w:sz="4" w:space="0" w:color="auto"/>
              <w:right w:val="single" w:sz="4" w:space="0" w:color="auto"/>
            </w:tcBorders>
            <w:vAlign w:val="center"/>
          </w:tcPr>
          <w:p w14:paraId="0E75E4E0" w14:textId="77777777" w:rsidR="00725070" w:rsidRDefault="00725070" w:rsidP="00725070">
            <w:pPr>
              <w:pStyle w:val="FSTableText"/>
              <w:keepNext/>
              <w:keepLines/>
              <w:jc w:val="right"/>
              <w:rPr>
                <w:lang w:bidi="ar-SA"/>
              </w:rPr>
            </w:pPr>
            <w:r>
              <w:rPr>
                <w:lang w:bidi="ar-SA"/>
              </w:rPr>
              <w:t>4703</w:t>
            </w:r>
          </w:p>
        </w:tc>
        <w:tc>
          <w:tcPr>
            <w:tcW w:w="1517" w:type="dxa"/>
            <w:tcBorders>
              <w:top w:val="single" w:sz="4" w:space="0" w:color="auto"/>
              <w:left w:val="single" w:sz="4" w:space="0" w:color="auto"/>
              <w:bottom w:val="single" w:sz="4" w:space="0" w:color="auto"/>
              <w:right w:val="single" w:sz="4" w:space="0" w:color="auto"/>
            </w:tcBorders>
            <w:vAlign w:val="center"/>
          </w:tcPr>
          <w:p w14:paraId="5BDA255D" w14:textId="77777777" w:rsidR="00725070" w:rsidRPr="00C56604" w:rsidRDefault="00725070" w:rsidP="00725070">
            <w:pPr>
              <w:pStyle w:val="FSTableText"/>
              <w:keepNext/>
              <w:keepLines/>
              <w:tabs>
                <w:tab w:val="decimal" w:pos="1134"/>
              </w:tabs>
              <w:rPr>
                <w:lang w:bidi="ar-SA"/>
              </w:rPr>
            </w:pPr>
            <w:r>
              <w:rPr>
                <w:lang w:bidi="ar-SA"/>
              </w:rPr>
              <w:t>99.6</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5AD83F45" w14:textId="77777777" w:rsidR="00725070" w:rsidRPr="000256D8" w:rsidRDefault="00725070" w:rsidP="00725070">
            <w:pPr>
              <w:pStyle w:val="FSTableText"/>
              <w:keepNext/>
              <w:keepLines/>
              <w:jc w:val="right"/>
              <w:rPr>
                <w:lang w:bidi="ar-SA"/>
              </w:rPr>
            </w:pPr>
            <w:r w:rsidRPr="000256D8">
              <w:rPr>
                <w:lang w:bidi="ar-SA"/>
              </w:rPr>
              <w:t>59.5</w:t>
            </w:r>
          </w:p>
        </w:tc>
        <w:tc>
          <w:tcPr>
            <w:tcW w:w="1018" w:type="dxa"/>
            <w:tcBorders>
              <w:top w:val="nil"/>
              <w:left w:val="nil"/>
              <w:bottom w:val="single" w:sz="4" w:space="0" w:color="auto"/>
              <w:right w:val="single" w:sz="4" w:space="0" w:color="auto"/>
            </w:tcBorders>
            <w:shd w:val="clear" w:color="auto" w:fill="auto"/>
            <w:noWrap/>
            <w:vAlign w:val="center"/>
          </w:tcPr>
          <w:p w14:paraId="350015C8" w14:textId="77777777" w:rsidR="00725070" w:rsidRPr="000256D8" w:rsidRDefault="00725070" w:rsidP="00725070">
            <w:pPr>
              <w:pStyle w:val="FSTableText"/>
              <w:keepNext/>
              <w:keepLines/>
              <w:jc w:val="right"/>
              <w:rPr>
                <w:lang w:bidi="ar-SA"/>
              </w:rPr>
            </w:pPr>
            <w:r w:rsidRPr="000256D8">
              <w:rPr>
                <w:lang w:bidi="ar-SA"/>
              </w:rPr>
              <w:t>0.78</w:t>
            </w:r>
          </w:p>
        </w:tc>
        <w:tc>
          <w:tcPr>
            <w:tcW w:w="1050" w:type="dxa"/>
            <w:tcBorders>
              <w:top w:val="nil"/>
              <w:left w:val="nil"/>
              <w:bottom w:val="single" w:sz="4" w:space="0" w:color="auto"/>
              <w:right w:val="single" w:sz="4" w:space="0" w:color="auto"/>
            </w:tcBorders>
            <w:shd w:val="clear" w:color="auto" w:fill="auto"/>
            <w:noWrap/>
            <w:vAlign w:val="center"/>
          </w:tcPr>
          <w:p w14:paraId="5F5059B8" w14:textId="77777777" w:rsidR="00725070" w:rsidRPr="000256D8" w:rsidRDefault="00725070" w:rsidP="00725070">
            <w:pPr>
              <w:pStyle w:val="FSTableText"/>
              <w:keepNext/>
              <w:keepLines/>
              <w:jc w:val="right"/>
              <w:rPr>
                <w:lang w:bidi="ar-SA"/>
              </w:rPr>
            </w:pPr>
            <w:r w:rsidRPr="000256D8">
              <w:rPr>
                <w:lang w:bidi="ar-SA"/>
              </w:rPr>
              <w:t>121.5</w:t>
            </w:r>
          </w:p>
        </w:tc>
        <w:tc>
          <w:tcPr>
            <w:tcW w:w="1035" w:type="dxa"/>
            <w:tcBorders>
              <w:top w:val="nil"/>
              <w:left w:val="nil"/>
              <w:bottom w:val="single" w:sz="4" w:space="0" w:color="auto"/>
              <w:right w:val="single" w:sz="4" w:space="0" w:color="auto"/>
            </w:tcBorders>
            <w:shd w:val="clear" w:color="auto" w:fill="auto"/>
            <w:noWrap/>
            <w:vAlign w:val="center"/>
          </w:tcPr>
          <w:p w14:paraId="288ECD4C" w14:textId="77777777" w:rsidR="00725070" w:rsidRPr="000256D8" w:rsidRDefault="00725070" w:rsidP="00725070">
            <w:pPr>
              <w:pStyle w:val="FSTableText"/>
              <w:keepNext/>
              <w:keepLines/>
              <w:jc w:val="right"/>
              <w:rPr>
                <w:lang w:bidi="ar-SA"/>
              </w:rPr>
            </w:pPr>
            <w:r w:rsidRPr="000256D8">
              <w:rPr>
                <w:lang w:bidi="ar-SA"/>
              </w:rPr>
              <w:t>1.56</w:t>
            </w:r>
          </w:p>
        </w:tc>
      </w:tr>
    </w:tbl>
    <w:p w14:paraId="165A1286" w14:textId="4A39EA71" w:rsidR="00725070" w:rsidRDefault="00725070" w:rsidP="000256D8">
      <w:pPr>
        <w:keepNext/>
        <w:keepLines/>
        <w:rPr>
          <w:sz w:val="18"/>
        </w:rPr>
      </w:pPr>
      <w:r w:rsidRPr="000256D8">
        <w:rPr>
          <w:sz w:val="18"/>
        </w:rPr>
        <w:t>* Estimated dietary exposures are based on the average of two days of data for Australia, and only one day of data for New Zealand.</w:t>
      </w:r>
    </w:p>
    <w:p w14:paraId="2AE3BE9A" w14:textId="2F57DA03" w:rsidR="00725070" w:rsidRDefault="00725070" w:rsidP="007E544F"/>
    <w:p w14:paraId="585364ED" w14:textId="5DF15370" w:rsidR="00725070" w:rsidRDefault="00725070" w:rsidP="007E544F"/>
    <w:p w14:paraId="4BDCE17C" w14:textId="48534707" w:rsidR="00C62BFC" w:rsidRDefault="00041241" w:rsidP="00614DC8">
      <w:pPr>
        <w:pStyle w:val="Heading3"/>
        <w:rPr>
          <w:rFonts w:eastAsiaTheme="minorHAnsi"/>
        </w:rPr>
      </w:pPr>
      <w:bookmarkStart w:id="1835" w:name="_Toc44592691"/>
      <w:bookmarkStart w:id="1836" w:name="_Toc44596204"/>
      <w:bookmarkStart w:id="1837" w:name="_Toc44604599"/>
      <w:bookmarkStart w:id="1838" w:name="_Toc54169748"/>
      <w:bookmarkStart w:id="1839" w:name="_Toc56090037"/>
      <w:r>
        <w:rPr>
          <w:rFonts w:eastAsiaTheme="minorHAnsi"/>
        </w:rPr>
        <w:t>9.</w:t>
      </w:r>
      <w:r w:rsidR="00313B8B">
        <w:rPr>
          <w:rFonts w:eastAsiaTheme="minorHAnsi"/>
        </w:rPr>
        <w:t>5</w:t>
      </w:r>
      <w:r w:rsidR="00C62BFC">
        <w:rPr>
          <w:rFonts w:eastAsiaTheme="minorHAnsi"/>
        </w:rPr>
        <w:t xml:space="preserve">.2 </w:t>
      </w:r>
      <w:r w:rsidR="00C62BFC">
        <w:t xml:space="preserve">Dietary exposure to </w:t>
      </w:r>
      <w:r w:rsidR="00C62BFC" w:rsidRPr="009822B6">
        <w:t xml:space="preserve">erucic acid from rapeseed protein isolate </w:t>
      </w:r>
      <w:r w:rsidR="00C62BFC">
        <w:t xml:space="preserve">with a </w:t>
      </w:r>
      <w:r w:rsidR="00C62BFC" w:rsidRPr="009822B6">
        <w:t>compar</w:t>
      </w:r>
      <w:r w:rsidR="00C62BFC">
        <w:t>ison</w:t>
      </w:r>
      <w:r w:rsidR="00C62BFC" w:rsidRPr="009822B6">
        <w:t xml:space="preserve"> to </w:t>
      </w:r>
      <w:r w:rsidR="00C62BFC">
        <w:t xml:space="preserve">dietary exposures from </w:t>
      </w:r>
      <w:r w:rsidR="00D15586" w:rsidRPr="00DA0240">
        <w:rPr>
          <w:i/>
        </w:rPr>
        <w:t>Brassica</w:t>
      </w:r>
      <w:r w:rsidR="00D15586">
        <w:t xml:space="preserve"> </w:t>
      </w:r>
      <w:r w:rsidR="004339CE">
        <w:t>vegetables</w:t>
      </w:r>
      <w:bookmarkEnd w:id="1835"/>
      <w:bookmarkEnd w:id="1836"/>
      <w:bookmarkEnd w:id="1837"/>
      <w:bookmarkEnd w:id="1838"/>
      <w:bookmarkEnd w:id="1839"/>
    </w:p>
    <w:p w14:paraId="7C8912BC" w14:textId="6C9A3762" w:rsidR="00C62BFC" w:rsidRDefault="00C62BFC" w:rsidP="007E544F">
      <w:pPr>
        <w:keepNext/>
        <w:keepLines/>
      </w:pPr>
      <w:r w:rsidRPr="000E44C2">
        <w:t xml:space="preserve">Table </w:t>
      </w:r>
      <w:r>
        <w:t>A1.</w:t>
      </w:r>
      <w:r w:rsidR="005059C0">
        <w:t>5</w:t>
      </w:r>
      <w:r w:rsidRPr="000E44C2">
        <w:t xml:space="preserve"> shows the estimated exposure to erucic acid from rapeseed protein isolate</w:t>
      </w:r>
      <w:r>
        <w:t xml:space="preserve"> based on proposed maximum use levels</w:t>
      </w:r>
      <w:r w:rsidRPr="000E44C2">
        <w:t>.</w:t>
      </w:r>
    </w:p>
    <w:p w14:paraId="31A09EC0" w14:textId="77777777" w:rsidR="00C62BFC" w:rsidRDefault="00C62BFC" w:rsidP="00C62BFC"/>
    <w:p w14:paraId="79F6E751" w14:textId="148470AC" w:rsidR="00C62BFC" w:rsidRPr="00C62BFC" w:rsidRDefault="00C62BFC" w:rsidP="00C62BFC">
      <w:r w:rsidRPr="00C62BFC">
        <w:t>Estimated mean dietary exposures to erucic acid from rapeseed protein isolate based on proposed maximum use levels for Australians aged 2 years and above was 2.9 mg/day. Mean dietary exposure to erucic acid from rapeseed protein isolate for New Zealand children 5-14 years and adults 15 years and above were 3.0 mg/day each. When expressed on a body weight basis, the estimated mean daily exposure for Australian aged 2 years and above was 0.05 mg/kg bw/day and for New Zealand children and adults were 0.08 mg/kg bw/day and 0.04 mg/kg bw/day respectively.</w:t>
      </w:r>
    </w:p>
    <w:p w14:paraId="1014F7C7" w14:textId="77777777" w:rsidR="00C62BFC" w:rsidRPr="00C62BFC" w:rsidRDefault="00C62BFC" w:rsidP="00C62BFC"/>
    <w:p w14:paraId="0F724FC2" w14:textId="5F97702C" w:rsidR="00C62BFC" w:rsidRPr="00C62BFC" w:rsidRDefault="00C62BFC" w:rsidP="00C62BFC">
      <w:r w:rsidRPr="00C62BFC">
        <w:t>Estimated 90th percentile dietary exposures to erucic acid from rapeseed protein isolate for Australians aged 2 years and above was 5.5 mg/day. Estimated 90th percentile dietary exposure for New Zealand children 5-14 years and adults 15 years and above were 5.4 mg/day and 6.1 mg/day respectively. When expressed on a body weight basis, estimated 90th percentile daily exposure to erucic acid from rapeseed protein isolate was 0.10 mg/kg bw/day for Australian aged 2 years and above, and for New Zealand was 0.15 mg/kg bw/day for children and 0.08 mg/kg bw/day for adults.</w:t>
      </w:r>
    </w:p>
    <w:p w14:paraId="4FB723B2" w14:textId="34681CDC" w:rsidR="00C62BFC" w:rsidRPr="00C62BFC" w:rsidRDefault="00C62BFC" w:rsidP="00C62BFC"/>
    <w:p w14:paraId="7FB36D1E" w14:textId="0AADA40F" w:rsidR="00C62BFC" w:rsidRDefault="00C62BFC" w:rsidP="00C62BFC">
      <w:pPr>
        <w:rPr>
          <w:lang w:bidi="ar-SA"/>
        </w:rPr>
      </w:pPr>
      <w:r w:rsidRPr="00C62BFC">
        <w:t>Mean and 90th percentile dietary exposures to erucic acid from rapeseed protein isolate</w:t>
      </w:r>
      <w:r w:rsidR="00A87A47">
        <w:t xml:space="preserve"> based on proposed maximum use levels</w:t>
      </w:r>
      <w:r w:rsidRPr="00C62BFC">
        <w:t xml:space="preserve"> </w:t>
      </w:r>
      <w:r w:rsidR="007E544F">
        <w:t xml:space="preserve">(Table A1.5) </w:t>
      </w:r>
      <w:r w:rsidRPr="00C62BFC">
        <w:t>are higher than mean and 90</w:t>
      </w:r>
      <w:r w:rsidRPr="00C62BFC">
        <w:rPr>
          <w:vertAlign w:val="superscript"/>
        </w:rPr>
        <w:t>th</w:t>
      </w:r>
      <w:r w:rsidRPr="00C62BFC">
        <w:t xml:space="preserve"> percentile dietary exposure from </w:t>
      </w:r>
      <w:r w:rsidR="00D15586" w:rsidRPr="00DA0240">
        <w:rPr>
          <w:i/>
          <w:lang w:bidi="ar-SA"/>
        </w:rPr>
        <w:t>Brassica</w:t>
      </w:r>
      <w:r w:rsidR="00D15586">
        <w:t xml:space="preserve"> </w:t>
      </w:r>
      <w:r w:rsidR="000256D8">
        <w:t xml:space="preserve">vegetables </w:t>
      </w:r>
      <w:r w:rsidR="00A87A47">
        <w:t xml:space="preserve">(Table 6.4) </w:t>
      </w:r>
      <w:r w:rsidRPr="00C62BFC">
        <w:t>for all population groups assessed in Australia and New Zealand.</w:t>
      </w:r>
    </w:p>
    <w:p w14:paraId="1927F84B" w14:textId="77777777" w:rsidR="00C62BFC" w:rsidRPr="00A20E13" w:rsidRDefault="00C62BFC" w:rsidP="00C62BFC"/>
    <w:p w14:paraId="05313A4E" w14:textId="67BB9387" w:rsidR="00725070" w:rsidRPr="001750EE" w:rsidRDefault="00725070" w:rsidP="00725070">
      <w:pPr>
        <w:keepNext/>
        <w:keepLines/>
        <w:rPr>
          <w:b/>
          <w:i/>
          <w:lang w:bidi="ar-SA"/>
        </w:rPr>
      </w:pPr>
      <w:r w:rsidRPr="002B767F">
        <w:rPr>
          <w:b/>
          <w:i/>
          <w:lang w:bidi="ar-SA"/>
        </w:rPr>
        <w:t>Table A1.</w:t>
      </w:r>
      <w:r w:rsidR="005059C0" w:rsidRPr="002B767F">
        <w:rPr>
          <w:b/>
          <w:i/>
          <w:lang w:bidi="ar-SA"/>
        </w:rPr>
        <w:t>5</w:t>
      </w:r>
      <w:r w:rsidR="005059C0">
        <w:rPr>
          <w:b/>
          <w:i/>
          <w:lang w:bidi="ar-SA"/>
        </w:rPr>
        <w:tab/>
      </w:r>
      <w:r w:rsidRPr="001750EE">
        <w:rPr>
          <w:i/>
          <w:lang w:bidi="ar-SA"/>
        </w:rPr>
        <w:t>Estimated dietary exposure to erucic acid from rapeseed protein isolate*</w:t>
      </w:r>
    </w:p>
    <w:p w14:paraId="4C967F8D" w14:textId="77777777" w:rsidR="00725070" w:rsidRPr="00543FCD" w:rsidRDefault="00725070" w:rsidP="00725070">
      <w:pPr>
        <w:rPr>
          <w:lang w:bidi="ar-SA"/>
        </w:rPr>
      </w:pPr>
    </w:p>
    <w:tbl>
      <w:tblPr>
        <w:tblStyle w:val="TableGrid"/>
        <w:tblW w:w="0" w:type="auto"/>
        <w:tblLook w:val="04A0" w:firstRow="1" w:lastRow="0" w:firstColumn="1" w:lastColumn="0" w:noHBand="0" w:noVBand="1"/>
        <w:tblCaption w:val="Table A1.5 Estimated dietary exposure to erucic acid from rapeseed protein isolate"/>
        <w:tblDescription w:val="Table A1.5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The estimation is based on 0.005% concentration of erucic acid in rapeseed protein isolate according to the specifications&#10;"/>
      </w:tblPr>
      <w:tblGrid>
        <w:gridCol w:w="1164"/>
        <w:gridCol w:w="2092"/>
        <w:gridCol w:w="917"/>
        <w:gridCol w:w="1595"/>
        <w:gridCol w:w="1249"/>
        <w:gridCol w:w="1594"/>
      </w:tblGrid>
      <w:tr w:rsidR="00725070" w14:paraId="6A79D768" w14:textId="77777777" w:rsidTr="00725070">
        <w:tc>
          <w:tcPr>
            <w:tcW w:w="1164" w:type="dxa"/>
            <w:vMerge w:val="restart"/>
            <w:vAlign w:val="bottom"/>
          </w:tcPr>
          <w:p w14:paraId="44A82D6C" w14:textId="77777777" w:rsidR="00725070" w:rsidRPr="00B2192B" w:rsidRDefault="00725070" w:rsidP="00725070">
            <w:pPr>
              <w:keepNext/>
              <w:keepLines/>
              <w:rPr>
                <w:b/>
                <w:lang w:bidi="ar-SA"/>
              </w:rPr>
            </w:pPr>
            <w:r w:rsidRPr="00B2192B">
              <w:rPr>
                <w:b/>
                <w:lang w:bidi="ar-SA"/>
              </w:rPr>
              <w:t>Country</w:t>
            </w:r>
          </w:p>
        </w:tc>
        <w:tc>
          <w:tcPr>
            <w:tcW w:w="2092" w:type="dxa"/>
            <w:vMerge w:val="restart"/>
            <w:vAlign w:val="bottom"/>
          </w:tcPr>
          <w:p w14:paraId="02E362FA" w14:textId="77777777" w:rsidR="00725070" w:rsidRPr="00B2192B" w:rsidRDefault="00725070" w:rsidP="00725070">
            <w:pPr>
              <w:pStyle w:val="FSTableText"/>
              <w:keepNext/>
              <w:keepLines/>
              <w:rPr>
                <w:b/>
                <w:lang w:bidi="ar-SA"/>
              </w:rPr>
            </w:pPr>
            <w:r w:rsidRPr="00B2192B">
              <w:rPr>
                <w:b/>
                <w:color w:val="000000"/>
              </w:rPr>
              <w:t>Population age (years)</w:t>
            </w:r>
          </w:p>
        </w:tc>
        <w:tc>
          <w:tcPr>
            <w:tcW w:w="2260" w:type="dxa"/>
            <w:gridSpan w:val="2"/>
            <w:vAlign w:val="bottom"/>
          </w:tcPr>
          <w:p w14:paraId="6858C305" w14:textId="77777777" w:rsidR="00725070" w:rsidRPr="00DD2C9F" w:rsidRDefault="00725070" w:rsidP="00725070">
            <w:pPr>
              <w:pStyle w:val="FSTableText"/>
              <w:keepNext/>
              <w:keepLines/>
              <w:jc w:val="center"/>
              <w:rPr>
                <w:b/>
                <w:lang w:bidi="ar-SA"/>
              </w:rPr>
            </w:pPr>
            <w:r w:rsidRPr="00DD2C9F">
              <w:rPr>
                <w:b/>
                <w:lang w:bidi="ar-SA"/>
              </w:rPr>
              <w:t>Mean</w:t>
            </w:r>
          </w:p>
        </w:tc>
        <w:tc>
          <w:tcPr>
            <w:tcW w:w="2843" w:type="dxa"/>
            <w:gridSpan w:val="2"/>
            <w:vAlign w:val="bottom"/>
          </w:tcPr>
          <w:p w14:paraId="303E8B7C" w14:textId="77777777" w:rsidR="00725070" w:rsidRPr="00DD2C9F" w:rsidRDefault="00725070" w:rsidP="00725070">
            <w:pPr>
              <w:pStyle w:val="FSTableText"/>
              <w:keepNext/>
              <w:keepLines/>
              <w:jc w:val="center"/>
              <w:rPr>
                <w:b/>
                <w:lang w:bidi="ar-SA"/>
              </w:rPr>
            </w:pPr>
            <w:r w:rsidRPr="00DD2C9F">
              <w:rPr>
                <w:b/>
                <w:lang w:bidi="ar-SA"/>
              </w:rPr>
              <w:t>90th Percentile</w:t>
            </w:r>
          </w:p>
        </w:tc>
      </w:tr>
      <w:tr w:rsidR="00725070" w14:paraId="0C7B192D" w14:textId="77777777" w:rsidTr="00725070">
        <w:tc>
          <w:tcPr>
            <w:tcW w:w="1164" w:type="dxa"/>
            <w:vMerge/>
          </w:tcPr>
          <w:p w14:paraId="5F4995EF" w14:textId="77777777" w:rsidR="00725070" w:rsidRPr="00B2192B" w:rsidRDefault="00725070" w:rsidP="00725070">
            <w:pPr>
              <w:keepNext/>
              <w:keepLines/>
              <w:rPr>
                <w:b/>
                <w:lang w:bidi="ar-SA"/>
              </w:rPr>
            </w:pPr>
          </w:p>
        </w:tc>
        <w:tc>
          <w:tcPr>
            <w:tcW w:w="2092" w:type="dxa"/>
            <w:vMerge/>
          </w:tcPr>
          <w:p w14:paraId="2509D3E8" w14:textId="77777777" w:rsidR="00725070" w:rsidRPr="00B2192B" w:rsidRDefault="00725070" w:rsidP="00725070">
            <w:pPr>
              <w:pStyle w:val="FSTableText"/>
              <w:keepNext/>
              <w:keepLines/>
              <w:rPr>
                <w:b/>
                <w:lang w:bidi="ar-SA"/>
              </w:rPr>
            </w:pPr>
          </w:p>
        </w:tc>
        <w:tc>
          <w:tcPr>
            <w:tcW w:w="665" w:type="dxa"/>
            <w:vAlign w:val="bottom"/>
          </w:tcPr>
          <w:p w14:paraId="05133C35" w14:textId="77777777" w:rsidR="00725070" w:rsidRPr="00DD2C9F" w:rsidRDefault="00725070" w:rsidP="00725070">
            <w:pPr>
              <w:pStyle w:val="FSTableText"/>
              <w:keepNext/>
              <w:keepLines/>
              <w:jc w:val="right"/>
              <w:rPr>
                <w:b/>
                <w:lang w:bidi="ar-SA"/>
              </w:rPr>
            </w:pPr>
            <w:r w:rsidRPr="00DD2C9F">
              <w:rPr>
                <w:b/>
                <w:lang w:bidi="ar-SA"/>
              </w:rPr>
              <w:t>mg/day</w:t>
            </w:r>
          </w:p>
        </w:tc>
        <w:tc>
          <w:tcPr>
            <w:tcW w:w="1595" w:type="dxa"/>
            <w:vAlign w:val="bottom"/>
          </w:tcPr>
          <w:p w14:paraId="4DF97753" w14:textId="77777777" w:rsidR="00725070" w:rsidRPr="00DD2C9F" w:rsidRDefault="00725070" w:rsidP="00725070">
            <w:pPr>
              <w:pStyle w:val="FSTableText"/>
              <w:keepNext/>
              <w:keepLines/>
              <w:jc w:val="right"/>
              <w:rPr>
                <w:b/>
                <w:lang w:bidi="ar-SA"/>
              </w:rPr>
            </w:pPr>
            <w:r w:rsidRPr="00DD2C9F">
              <w:rPr>
                <w:b/>
                <w:lang w:bidi="ar-SA"/>
              </w:rPr>
              <w:t>mg/kg bw/day</w:t>
            </w:r>
          </w:p>
        </w:tc>
        <w:tc>
          <w:tcPr>
            <w:tcW w:w="1249" w:type="dxa"/>
            <w:vAlign w:val="bottom"/>
          </w:tcPr>
          <w:p w14:paraId="76637C39" w14:textId="77777777" w:rsidR="00725070" w:rsidRPr="00DD2C9F" w:rsidRDefault="00725070" w:rsidP="00725070">
            <w:pPr>
              <w:pStyle w:val="FSTableText"/>
              <w:keepNext/>
              <w:keepLines/>
              <w:jc w:val="right"/>
              <w:rPr>
                <w:b/>
                <w:lang w:bidi="ar-SA"/>
              </w:rPr>
            </w:pPr>
            <w:r w:rsidRPr="00DD2C9F">
              <w:rPr>
                <w:b/>
                <w:lang w:bidi="ar-SA"/>
              </w:rPr>
              <w:t>mg/day</w:t>
            </w:r>
          </w:p>
        </w:tc>
        <w:tc>
          <w:tcPr>
            <w:tcW w:w="1594" w:type="dxa"/>
            <w:vAlign w:val="bottom"/>
          </w:tcPr>
          <w:p w14:paraId="61A18513" w14:textId="77777777" w:rsidR="00725070" w:rsidRPr="00DD2C9F" w:rsidRDefault="00725070" w:rsidP="00725070">
            <w:pPr>
              <w:pStyle w:val="FSTableText"/>
              <w:keepNext/>
              <w:keepLines/>
              <w:jc w:val="right"/>
              <w:rPr>
                <w:b/>
                <w:lang w:bidi="ar-SA"/>
              </w:rPr>
            </w:pPr>
            <w:r w:rsidRPr="00DD2C9F">
              <w:rPr>
                <w:b/>
                <w:lang w:bidi="ar-SA"/>
              </w:rPr>
              <w:t>mg/kg bw/day</w:t>
            </w:r>
          </w:p>
        </w:tc>
      </w:tr>
      <w:tr w:rsidR="00725070" w14:paraId="7EB24E12" w14:textId="77777777" w:rsidTr="00725070">
        <w:trPr>
          <w:trHeight w:val="283"/>
        </w:trPr>
        <w:tc>
          <w:tcPr>
            <w:tcW w:w="1164" w:type="dxa"/>
          </w:tcPr>
          <w:p w14:paraId="69817CB5" w14:textId="77777777" w:rsidR="00725070" w:rsidRDefault="00725070" w:rsidP="00725070">
            <w:pPr>
              <w:pStyle w:val="FSTableText"/>
              <w:keepNext/>
              <w:keepLines/>
              <w:rPr>
                <w:lang w:bidi="ar-SA"/>
              </w:rPr>
            </w:pPr>
            <w:r w:rsidRPr="00D84528">
              <w:rPr>
                <w:lang w:bidi="ar-SA"/>
              </w:rPr>
              <w:t>Australia</w:t>
            </w:r>
          </w:p>
        </w:tc>
        <w:tc>
          <w:tcPr>
            <w:tcW w:w="2092" w:type="dxa"/>
            <w:vAlign w:val="center"/>
          </w:tcPr>
          <w:p w14:paraId="279A0FC9" w14:textId="77777777" w:rsidR="00725070" w:rsidRDefault="00725070" w:rsidP="00725070">
            <w:pPr>
              <w:pStyle w:val="FSTableText"/>
              <w:keepNext/>
              <w:keepLines/>
              <w:rPr>
                <w:lang w:bidi="ar-SA"/>
              </w:rPr>
            </w:pPr>
            <w:r w:rsidRPr="00D84528">
              <w:rPr>
                <w:lang w:bidi="ar-SA"/>
              </w:rPr>
              <w:t>2 years and above</w:t>
            </w:r>
          </w:p>
        </w:tc>
        <w:tc>
          <w:tcPr>
            <w:tcW w:w="665" w:type="dxa"/>
            <w:vAlign w:val="center"/>
          </w:tcPr>
          <w:p w14:paraId="5C5C584D" w14:textId="77777777" w:rsidR="00725070" w:rsidRDefault="00725070" w:rsidP="00725070">
            <w:pPr>
              <w:pStyle w:val="FSTableText"/>
              <w:keepNext/>
              <w:keepLines/>
              <w:jc w:val="right"/>
              <w:rPr>
                <w:lang w:bidi="ar-SA"/>
              </w:rPr>
            </w:pPr>
            <w:r w:rsidRPr="00D84528">
              <w:rPr>
                <w:lang w:bidi="ar-SA"/>
              </w:rPr>
              <w:t>2.9</w:t>
            </w:r>
          </w:p>
        </w:tc>
        <w:tc>
          <w:tcPr>
            <w:tcW w:w="1595" w:type="dxa"/>
            <w:vAlign w:val="center"/>
          </w:tcPr>
          <w:p w14:paraId="5DB46A59" w14:textId="77777777" w:rsidR="00725070" w:rsidRDefault="00725070" w:rsidP="00725070">
            <w:pPr>
              <w:pStyle w:val="FSTableText"/>
              <w:keepNext/>
              <w:keepLines/>
              <w:jc w:val="right"/>
              <w:rPr>
                <w:lang w:bidi="ar-SA"/>
              </w:rPr>
            </w:pPr>
            <w:r w:rsidRPr="00D84528">
              <w:rPr>
                <w:lang w:bidi="ar-SA"/>
              </w:rPr>
              <w:t>0.05</w:t>
            </w:r>
          </w:p>
        </w:tc>
        <w:tc>
          <w:tcPr>
            <w:tcW w:w="1249" w:type="dxa"/>
            <w:vAlign w:val="center"/>
          </w:tcPr>
          <w:p w14:paraId="6D60B325" w14:textId="77777777" w:rsidR="00725070" w:rsidRDefault="00725070" w:rsidP="00725070">
            <w:pPr>
              <w:pStyle w:val="FSTableText"/>
              <w:keepNext/>
              <w:keepLines/>
              <w:jc w:val="right"/>
              <w:rPr>
                <w:lang w:bidi="ar-SA"/>
              </w:rPr>
            </w:pPr>
            <w:r w:rsidRPr="00D84528">
              <w:rPr>
                <w:lang w:bidi="ar-SA"/>
              </w:rPr>
              <w:t>5.</w:t>
            </w:r>
            <w:r>
              <w:rPr>
                <w:lang w:bidi="ar-SA"/>
              </w:rPr>
              <w:t>5</w:t>
            </w:r>
          </w:p>
        </w:tc>
        <w:tc>
          <w:tcPr>
            <w:tcW w:w="1594" w:type="dxa"/>
            <w:vAlign w:val="center"/>
          </w:tcPr>
          <w:p w14:paraId="31C571FA" w14:textId="77777777" w:rsidR="00725070" w:rsidRDefault="00725070" w:rsidP="00725070">
            <w:pPr>
              <w:pStyle w:val="FSTableText"/>
              <w:keepNext/>
              <w:keepLines/>
              <w:jc w:val="right"/>
              <w:rPr>
                <w:lang w:bidi="ar-SA"/>
              </w:rPr>
            </w:pPr>
            <w:r w:rsidRPr="00D84528">
              <w:rPr>
                <w:lang w:bidi="ar-SA"/>
              </w:rPr>
              <w:t>0.10</w:t>
            </w:r>
          </w:p>
        </w:tc>
      </w:tr>
      <w:tr w:rsidR="00725070" w14:paraId="43090914" w14:textId="77777777" w:rsidTr="00725070">
        <w:trPr>
          <w:trHeight w:val="283"/>
        </w:trPr>
        <w:tc>
          <w:tcPr>
            <w:tcW w:w="1164" w:type="dxa"/>
            <w:vMerge w:val="restart"/>
          </w:tcPr>
          <w:p w14:paraId="196A08F8" w14:textId="77777777" w:rsidR="00725070" w:rsidRDefault="00725070" w:rsidP="00725070">
            <w:pPr>
              <w:pStyle w:val="FSTableText"/>
              <w:keepNext/>
              <w:keepLines/>
              <w:rPr>
                <w:lang w:bidi="ar-SA"/>
              </w:rPr>
            </w:pPr>
            <w:r w:rsidRPr="00D84528">
              <w:rPr>
                <w:lang w:bidi="ar-SA"/>
              </w:rPr>
              <w:t>New Zealand</w:t>
            </w:r>
          </w:p>
        </w:tc>
        <w:tc>
          <w:tcPr>
            <w:tcW w:w="2092" w:type="dxa"/>
            <w:vAlign w:val="center"/>
          </w:tcPr>
          <w:p w14:paraId="13E6D276" w14:textId="77777777" w:rsidR="00725070" w:rsidRDefault="00725070" w:rsidP="00725070">
            <w:pPr>
              <w:pStyle w:val="FSTableText"/>
              <w:keepNext/>
              <w:keepLines/>
              <w:rPr>
                <w:lang w:bidi="ar-SA"/>
              </w:rPr>
            </w:pPr>
            <w:r w:rsidRPr="00D84528">
              <w:rPr>
                <w:lang w:bidi="ar-SA"/>
              </w:rPr>
              <w:t>Children 5-14 years</w:t>
            </w:r>
          </w:p>
        </w:tc>
        <w:tc>
          <w:tcPr>
            <w:tcW w:w="665" w:type="dxa"/>
            <w:vAlign w:val="center"/>
          </w:tcPr>
          <w:p w14:paraId="1924AD78" w14:textId="77777777" w:rsidR="00725070" w:rsidRDefault="00725070" w:rsidP="00725070">
            <w:pPr>
              <w:pStyle w:val="FSTableText"/>
              <w:keepNext/>
              <w:keepLines/>
              <w:jc w:val="right"/>
              <w:rPr>
                <w:lang w:bidi="ar-SA"/>
              </w:rPr>
            </w:pPr>
            <w:r w:rsidRPr="00D84528">
              <w:rPr>
                <w:lang w:bidi="ar-SA"/>
              </w:rPr>
              <w:t>3.0</w:t>
            </w:r>
          </w:p>
        </w:tc>
        <w:tc>
          <w:tcPr>
            <w:tcW w:w="1595" w:type="dxa"/>
            <w:vAlign w:val="center"/>
          </w:tcPr>
          <w:p w14:paraId="2F1F9BB4" w14:textId="77777777" w:rsidR="00725070" w:rsidRDefault="00725070" w:rsidP="00725070">
            <w:pPr>
              <w:pStyle w:val="FSTableText"/>
              <w:keepNext/>
              <w:keepLines/>
              <w:jc w:val="right"/>
              <w:rPr>
                <w:lang w:bidi="ar-SA"/>
              </w:rPr>
            </w:pPr>
            <w:r w:rsidRPr="00D84528">
              <w:rPr>
                <w:lang w:bidi="ar-SA"/>
              </w:rPr>
              <w:t>0.08</w:t>
            </w:r>
          </w:p>
        </w:tc>
        <w:tc>
          <w:tcPr>
            <w:tcW w:w="1249" w:type="dxa"/>
            <w:vAlign w:val="center"/>
          </w:tcPr>
          <w:p w14:paraId="6AA50A53" w14:textId="77777777" w:rsidR="00725070" w:rsidRDefault="00725070" w:rsidP="00725070">
            <w:pPr>
              <w:pStyle w:val="FSTableText"/>
              <w:keepNext/>
              <w:keepLines/>
              <w:jc w:val="right"/>
              <w:rPr>
                <w:lang w:bidi="ar-SA"/>
              </w:rPr>
            </w:pPr>
            <w:r w:rsidRPr="00D84528">
              <w:rPr>
                <w:lang w:bidi="ar-SA"/>
              </w:rPr>
              <w:t>5.</w:t>
            </w:r>
            <w:r>
              <w:rPr>
                <w:lang w:bidi="ar-SA"/>
              </w:rPr>
              <w:t>4</w:t>
            </w:r>
          </w:p>
        </w:tc>
        <w:tc>
          <w:tcPr>
            <w:tcW w:w="1594" w:type="dxa"/>
            <w:vAlign w:val="center"/>
          </w:tcPr>
          <w:p w14:paraId="588A0C5C" w14:textId="77777777" w:rsidR="00725070" w:rsidRDefault="00725070" w:rsidP="00725070">
            <w:pPr>
              <w:pStyle w:val="FSTableText"/>
              <w:keepNext/>
              <w:keepLines/>
              <w:jc w:val="right"/>
              <w:rPr>
                <w:lang w:bidi="ar-SA"/>
              </w:rPr>
            </w:pPr>
            <w:r w:rsidRPr="00D84528">
              <w:rPr>
                <w:lang w:bidi="ar-SA"/>
              </w:rPr>
              <w:t>0.15</w:t>
            </w:r>
          </w:p>
        </w:tc>
      </w:tr>
      <w:tr w:rsidR="00725070" w14:paraId="65F847D4" w14:textId="77777777" w:rsidTr="00725070">
        <w:trPr>
          <w:trHeight w:val="283"/>
        </w:trPr>
        <w:tc>
          <w:tcPr>
            <w:tcW w:w="1164" w:type="dxa"/>
            <w:vMerge/>
          </w:tcPr>
          <w:p w14:paraId="4CAE0E12" w14:textId="77777777" w:rsidR="00725070" w:rsidRDefault="00725070" w:rsidP="00725070">
            <w:pPr>
              <w:keepNext/>
              <w:keepLines/>
              <w:rPr>
                <w:lang w:bidi="ar-SA"/>
              </w:rPr>
            </w:pPr>
          </w:p>
        </w:tc>
        <w:tc>
          <w:tcPr>
            <w:tcW w:w="2092" w:type="dxa"/>
            <w:vAlign w:val="center"/>
          </w:tcPr>
          <w:p w14:paraId="4C5E9F28" w14:textId="77777777" w:rsidR="00725070" w:rsidRDefault="00725070" w:rsidP="00725070">
            <w:pPr>
              <w:pStyle w:val="FSTableText"/>
              <w:keepNext/>
              <w:keepLines/>
              <w:rPr>
                <w:lang w:bidi="ar-SA"/>
              </w:rPr>
            </w:pPr>
            <w:r w:rsidRPr="00D84528">
              <w:rPr>
                <w:lang w:bidi="ar-SA"/>
              </w:rPr>
              <w:t>15 years and above</w:t>
            </w:r>
          </w:p>
        </w:tc>
        <w:tc>
          <w:tcPr>
            <w:tcW w:w="665" w:type="dxa"/>
            <w:vAlign w:val="center"/>
          </w:tcPr>
          <w:p w14:paraId="650C9A78" w14:textId="77777777" w:rsidR="00725070" w:rsidRDefault="00725070" w:rsidP="00725070">
            <w:pPr>
              <w:pStyle w:val="FSTableText"/>
              <w:keepNext/>
              <w:keepLines/>
              <w:jc w:val="right"/>
              <w:rPr>
                <w:lang w:bidi="ar-SA"/>
              </w:rPr>
            </w:pPr>
            <w:r>
              <w:rPr>
                <w:lang w:bidi="ar-SA"/>
              </w:rPr>
              <w:t>3.0</w:t>
            </w:r>
          </w:p>
        </w:tc>
        <w:tc>
          <w:tcPr>
            <w:tcW w:w="1595" w:type="dxa"/>
            <w:vAlign w:val="center"/>
          </w:tcPr>
          <w:p w14:paraId="2F8EDEBD" w14:textId="77777777" w:rsidR="00725070" w:rsidRDefault="00725070" w:rsidP="00725070">
            <w:pPr>
              <w:pStyle w:val="FSTableText"/>
              <w:keepNext/>
              <w:keepLines/>
              <w:jc w:val="right"/>
              <w:rPr>
                <w:lang w:bidi="ar-SA"/>
              </w:rPr>
            </w:pPr>
            <w:r w:rsidRPr="00D84528">
              <w:rPr>
                <w:lang w:bidi="ar-SA"/>
              </w:rPr>
              <w:t>0.04</w:t>
            </w:r>
          </w:p>
        </w:tc>
        <w:tc>
          <w:tcPr>
            <w:tcW w:w="1249" w:type="dxa"/>
            <w:vAlign w:val="center"/>
          </w:tcPr>
          <w:p w14:paraId="1703B6C7" w14:textId="77777777" w:rsidR="00725070" w:rsidRDefault="00725070" w:rsidP="00725070">
            <w:pPr>
              <w:pStyle w:val="FSTableText"/>
              <w:keepNext/>
              <w:keepLines/>
              <w:jc w:val="right"/>
              <w:rPr>
                <w:lang w:bidi="ar-SA"/>
              </w:rPr>
            </w:pPr>
            <w:r w:rsidRPr="00D84528">
              <w:rPr>
                <w:lang w:bidi="ar-SA"/>
              </w:rPr>
              <w:t>6.</w:t>
            </w:r>
            <w:r>
              <w:rPr>
                <w:lang w:bidi="ar-SA"/>
              </w:rPr>
              <w:t>1</w:t>
            </w:r>
          </w:p>
        </w:tc>
        <w:tc>
          <w:tcPr>
            <w:tcW w:w="1594" w:type="dxa"/>
            <w:vAlign w:val="center"/>
          </w:tcPr>
          <w:p w14:paraId="0487BA07" w14:textId="77777777" w:rsidR="00725070" w:rsidRDefault="00725070" w:rsidP="00725070">
            <w:pPr>
              <w:pStyle w:val="FSTableText"/>
              <w:keepNext/>
              <w:keepLines/>
              <w:jc w:val="right"/>
              <w:rPr>
                <w:lang w:bidi="ar-SA"/>
              </w:rPr>
            </w:pPr>
            <w:r w:rsidRPr="00D84528">
              <w:rPr>
                <w:lang w:bidi="ar-SA"/>
              </w:rPr>
              <w:t>0.08</w:t>
            </w:r>
          </w:p>
        </w:tc>
      </w:tr>
    </w:tbl>
    <w:p w14:paraId="00E86D15" w14:textId="1CEEE81E" w:rsidR="00725070" w:rsidRPr="00B23CA5" w:rsidRDefault="00725070" w:rsidP="00725070">
      <w:pPr>
        <w:keepNext/>
        <w:keepLines/>
        <w:rPr>
          <w:sz w:val="18"/>
          <w:lang w:bidi="ar-SA"/>
        </w:rPr>
      </w:pPr>
      <w:r w:rsidRPr="00B23CA5">
        <w:rPr>
          <w:sz w:val="18"/>
          <w:lang w:bidi="ar-SA"/>
        </w:rPr>
        <w:t xml:space="preserve">* Based on </w:t>
      </w:r>
      <w:r>
        <w:rPr>
          <w:sz w:val="18"/>
          <w:lang w:bidi="ar-SA"/>
        </w:rPr>
        <w:t xml:space="preserve">0.005% </w:t>
      </w:r>
      <w:r w:rsidRPr="00B23CA5">
        <w:rPr>
          <w:sz w:val="18"/>
          <w:lang w:bidi="ar-SA"/>
        </w:rPr>
        <w:t>concentration of erucic acid in rapeseed protein isolate according to the specifications.</w:t>
      </w:r>
      <w:r w:rsidR="00A87C38">
        <w:rPr>
          <w:sz w:val="18"/>
          <w:lang w:bidi="ar-SA"/>
        </w:rPr>
        <w:t xml:space="preserve"> This is the limit of detection for the analytical method for erucic acid.</w:t>
      </w:r>
    </w:p>
    <w:p w14:paraId="6FAD62AB" w14:textId="4C5CC8E2" w:rsidR="00725070" w:rsidRDefault="00725070" w:rsidP="00725070">
      <w:pPr>
        <w:rPr>
          <w:lang w:bidi="ar-SA"/>
        </w:rPr>
      </w:pPr>
    </w:p>
    <w:p w14:paraId="5B7F8D0F" w14:textId="0D086989" w:rsidR="00C62BFC" w:rsidRDefault="00041241" w:rsidP="00614DC8">
      <w:pPr>
        <w:pStyle w:val="Heading3"/>
        <w:rPr>
          <w:rFonts w:eastAsiaTheme="minorHAnsi"/>
        </w:rPr>
      </w:pPr>
      <w:bookmarkStart w:id="1840" w:name="_Toc44592692"/>
      <w:bookmarkStart w:id="1841" w:name="_Toc44596205"/>
      <w:bookmarkStart w:id="1842" w:name="_Toc44604600"/>
      <w:bookmarkStart w:id="1843" w:name="_Toc54169749"/>
      <w:bookmarkStart w:id="1844" w:name="_Toc56090038"/>
      <w:r>
        <w:rPr>
          <w:rFonts w:eastAsiaTheme="minorHAnsi"/>
        </w:rPr>
        <w:t>9.</w:t>
      </w:r>
      <w:r w:rsidR="00313B8B">
        <w:rPr>
          <w:rFonts w:eastAsiaTheme="minorHAnsi"/>
        </w:rPr>
        <w:t>5</w:t>
      </w:r>
      <w:r>
        <w:rPr>
          <w:rFonts w:eastAsiaTheme="minorHAnsi"/>
        </w:rPr>
        <w:t>.3</w:t>
      </w:r>
      <w:r w:rsidR="00C62BFC">
        <w:rPr>
          <w:rFonts w:eastAsiaTheme="minorHAnsi"/>
        </w:rPr>
        <w:t xml:space="preserve"> </w:t>
      </w:r>
      <w:r w:rsidR="00C62BFC">
        <w:t>Dietary exposure to glucosinolates</w:t>
      </w:r>
      <w:r w:rsidR="00C62BFC" w:rsidRPr="009822B6">
        <w:t xml:space="preserve"> from rapeseed protein isolate </w:t>
      </w:r>
      <w:r w:rsidR="00C62BFC">
        <w:t xml:space="preserve">with a </w:t>
      </w:r>
      <w:r w:rsidR="00C62BFC" w:rsidRPr="009822B6">
        <w:t>compar</w:t>
      </w:r>
      <w:r w:rsidR="00C62BFC">
        <w:t>ison</w:t>
      </w:r>
      <w:r w:rsidR="00C62BFC" w:rsidRPr="009822B6">
        <w:t xml:space="preserve"> to </w:t>
      </w:r>
      <w:r w:rsidR="00C62BFC">
        <w:t xml:space="preserve">dietary exposures from </w:t>
      </w:r>
      <w:r w:rsidR="00D15586" w:rsidRPr="00DA0240">
        <w:rPr>
          <w:i/>
        </w:rPr>
        <w:t>Brassica</w:t>
      </w:r>
      <w:r w:rsidR="00D15586">
        <w:t xml:space="preserve"> </w:t>
      </w:r>
      <w:r w:rsidR="004339CE">
        <w:t>vegetables</w:t>
      </w:r>
      <w:bookmarkEnd w:id="1840"/>
      <w:bookmarkEnd w:id="1841"/>
      <w:bookmarkEnd w:id="1842"/>
      <w:bookmarkEnd w:id="1843"/>
      <w:bookmarkEnd w:id="1844"/>
    </w:p>
    <w:p w14:paraId="27B5DEFE" w14:textId="0E5A31D5" w:rsidR="00C62BFC" w:rsidRPr="000050F5" w:rsidRDefault="00C62BFC" w:rsidP="00C62BFC">
      <w:pPr>
        <w:keepNext/>
        <w:keepLines/>
      </w:pPr>
      <w:r w:rsidRPr="000050F5">
        <w:t xml:space="preserve">Table </w:t>
      </w:r>
      <w:r>
        <w:t>A1.</w:t>
      </w:r>
      <w:r w:rsidR="00EB3195">
        <w:t>6</w:t>
      </w:r>
      <w:r w:rsidRPr="000050F5">
        <w:t xml:space="preserve"> shows the estimated dietary exposure to glucosinolates from rapeseed protein isolate</w:t>
      </w:r>
      <w:r>
        <w:t xml:space="preserve"> based on proposed typical use levels</w:t>
      </w:r>
      <w:r w:rsidRPr="000050F5">
        <w:t>.</w:t>
      </w:r>
    </w:p>
    <w:p w14:paraId="07387FC8" w14:textId="77777777" w:rsidR="00C62BFC" w:rsidRPr="000050F5" w:rsidRDefault="00C62BFC" w:rsidP="00C62BFC"/>
    <w:p w14:paraId="1D8AD667" w14:textId="64C3B461" w:rsidR="00C62BFC" w:rsidRPr="00C62BFC" w:rsidRDefault="00C62BFC" w:rsidP="00C62BFC">
      <w:r w:rsidRPr="00C62BFC">
        <w:t xml:space="preserve">Estimated mean dietary exposures to glucosinolates from rapeseed protein isolate based on proposed </w:t>
      </w:r>
      <w:r>
        <w:t>maximum</w:t>
      </w:r>
      <w:r w:rsidRPr="00C62BFC">
        <w:t xml:space="preserve"> use levels for Australians aged 2 years and above was 26.4 mg/day. Mean dietary exposure for New Zealand children 5-14 years and adults 15 years and above were 27.6 mg/day and 27.1 mg/day respectively. When expressed on a body weight basis, estimated mean daily exposure for Australian aged 2 years and above was 0.43 mg/kg bw/day and for New Zealand children and adults were 0.76 mg/kg bw/day and 0.35 mg/kg bw/day respectively.</w:t>
      </w:r>
    </w:p>
    <w:p w14:paraId="724FF07A" w14:textId="77777777" w:rsidR="00C62BFC" w:rsidRPr="00C62BFC" w:rsidRDefault="00C62BFC" w:rsidP="00C62BFC"/>
    <w:p w14:paraId="7FC967F6" w14:textId="77777777" w:rsidR="00C62BFC" w:rsidRPr="000050F5" w:rsidRDefault="00C62BFC" w:rsidP="00C62BFC">
      <w:r w:rsidRPr="00C62BFC">
        <w:t>Estimated 90th percentile dietary exposures to glucosinolates from rapeseed protein isolate for Australians aged 2 years and above was 50.0 mg/day. Estimated 90th percentile dietary exposure for New Zealand children 5-14 years and adults 15 years and above were 48.9 mg/day and 55.3 mg/day respectively. When expressed on a body weight basis, estimated 90th percentile daily exposure to glucosinolates from rapeseed protein isolate was 0.87 mg/kg bw/day for Australian aged 2 years and above and 1.39 mg/kg bw/day for New Zealand children and 0.71 mg/kg bw/day for the adults.</w:t>
      </w:r>
    </w:p>
    <w:p w14:paraId="01B39C45" w14:textId="77777777" w:rsidR="00C62BFC" w:rsidRDefault="00C62BFC" w:rsidP="00725070">
      <w:pPr>
        <w:rPr>
          <w:lang w:bidi="ar-SA"/>
        </w:rPr>
      </w:pPr>
    </w:p>
    <w:p w14:paraId="0C1FE953" w14:textId="2C6C7D23" w:rsidR="00725070" w:rsidRDefault="00725070" w:rsidP="00725070">
      <w:pPr>
        <w:keepNext/>
        <w:keepLines/>
        <w:rPr>
          <w:i/>
          <w:lang w:bidi="ar-SA"/>
        </w:rPr>
      </w:pPr>
      <w:r w:rsidRPr="002B767F">
        <w:rPr>
          <w:b/>
          <w:i/>
          <w:lang w:bidi="ar-SA"/>
        </w:rPr>
        <w:t>Table A1.</w:t>
      </w:r>
      <w:r w:rsidR="00EB3195" w:rsidRPr="002B767F">
        <w:rPr>
          <w:b/>
          <w:i/>
          <w:lang w:bidi="ar-SA"/>
        </w:rPr>
        <w:t>6</w:t>
      </w:r>
      <w:r w:rsidRPr="00436CA6">
        <w:rPr>
          <w:b/>
          <w:i/>
          <w:lang w:bidi="ar-SA"/>
        </w:rPr>
        <w:tab/>
      </w:r>
      <w:r w:rsidRPr="00436CA6">
        <w:rPr>
          <w:i/>
          <w:lang w:bidi="ar-SA"/>
        </w:rPr>
        <w:t>Estimated dietary exposure to glucosinolates from rapeseed protein isolate</w:t>
      </w:r>
      <w:r>
        <w:rPr>
          <w:i/>
          <w:lang w:bidi="ar-SA"/>
        </w:rPr>
        <w:t xml:space="preserve"> based on proposed typical use levels</w:t>
      </w:r>
      <w:r w:rsidRPr="00436CA6">
        <w:rPr>
          <w:i/>
          <w:lang w:bidi="ar-SA"/>
        </w:rPr>
        <w:t>*</w:t>
      </w:r>
    </w:p>
    <w:p w14:paraId="3F46CDE0" w14:textId="77777777" w:rsidR="00725070" w:rsidRPr="00436CA6" w:rsidRDefault="00725070" w:rsidP="00725070">
      <w:pPr>
        <w:keepNext/>
        <w:keepLines/>
        <w:rPr>
          <w:i/>
          <w:lang w:bidi="ar-SA"/>
        </w:rPr>
      </w:pPr>
    </w:p>
    <w:tbl>
      <w:tblPr>
        <w:tblStyle w:val="TableGrid"/>
        <w:tblW w:w="0" w:type="auto"/>
        <w:tblLayout w:type="fixed"/>
        <w:tblLook w:val="04A0" w:firstRow="1" w:lastRow="0" w:firstColumn="1" w:lastColumn="0" w:noHBand="0" w:noVBand="1"/>
        <w:tblCaption w:val="Table A1.6 Estimated dietary exposure to glucosinolates from rapeseed protein isolate"/>
        <w:tblDescription w:val="Table A1.6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The estimates was based on 1µmoles /g concentration of glucosinolates in rapeseed protein isolate according to the specifications. Calculations for total glucosinolates based on molecular weight of 455 g/mol (VanEtten et. al. 1980)."/>
      </w:tblPr>
      <w:tblGrid>
        <w:gridCol w:w="995"/>
        <w:gridCol w:w="2119"/>
        <w:gridCol w:w="1134"/>
        <w:gridCol w:w="1559"/>
        <w:gridCol w:w="1418"/>
        <w:gridCol w:w="1559"/>
      </w:tblGrid>
      <w:tr w:rsidR="00725070" w14:paraId="779E3981" w14:textId="77777777" w:rsidTr="007E544F">
        <w:tc>
          <w:tcPr>
            <w:tcW w:w="995" w:type="dxa"/>
            <w:vMerge w:val="restart"/>
            <w:vAlign w:val="bottom"/>
          </w:tcPr>
          <w:p w14:paraId="1A54D11C" w14:textId="77777777" w:rsidR="00725070" w:rsidRPr="004F5B81" w:rsidRDefault="00725070" w:rsidP="00725070">
            <w:pPr>
              <w:keepNext/>
              <w:keepLines/>
              <w:rPr>
                <w:b/>
                <w:lang w:bidi="ar-SA"/>
              </w:rPr>
            </w:pPr>
            <w:r w:rsidRPr="004F5B81">
              <w:rPr>
                <w:b/>
                <w:sz w:val="20"/>
                <w:lang w:bidi="ar-SA"/>
              </w:rPr>
              <w:t>Country</w:t>
            </w:r>
          </w:p>
        </w:tc>
        <w:tc>
          <w:tcPr>
            <w:tcW w:w="2119" w:type="dxa"/>
            <w:vMerge w:val="restart"/>
            <w:vAlign w:val="bottom"/>
          </w:tcPr>
          <w:p w14:paraId="42E6E4A1" w14:textId="77777777" w:rsidR="00725070" w:rsidRPr="004F5B81" w:rsidRDefault="00725070" w:rsidP="00725070">
            <w:pPr>
              <w:pStyle w:val="FSTableText"/>
              <w:keepNext/>
              <w:keepLines/>
              <w:rPr>
                <w:rFonts w:ascii="Calibri" w:hAnsi="Calibri" w:cs="Calibri"/>
                <w:b/>
                <w:color w:val="000000"/>
                <w:lang w:eastAsia="en-GB"/>
              </w:rPr>
            </w:pPr>
            <w:r w:rsidRPr="004F5B81">
              <w:rPr>
                <w:b/>
                <w:lang w:bidi="ar-SA"/>
              </w:rPr>
              <w:t>Population age (years)</w:t>
            </w:r>
          </w:p>
        </w:tc>
        <w:tc>
          <w:tcPr>
            <w:tcW w:w="2693" w:type="dxa"/>
            <w:gridSpan w:val="2"/>
            <w:shd w:val="clear" w:color="auto" w:fill="auto"/>
            <w:vAlign w:val="bottom"/>
          </w:tcPr>
          <w:p w14:paraId="2EDDDCF1" w14:textId="77777777" w:rsidR="00725070" w:rsidRPr="004F5B81" w:rsidRDefault="00725070" w:rsidP="00725070">
            <w:pPr>
              <w:keepNext/>
              <w:keepLines/>
              <w:jc w:val="center"/>
              <w:rPr>
                <w:b/>
                <w:lang w:bidi="ar-SA"/>
              </w:rPr>
            </w:pPr>
            <w:r w:rsidRPr="004F5B81">
              <w:rPr>
                <w:rFonts w:ascii="Calibri" w:hAnsi="Calibri" w:cs="Calibri"/>
                <w:b/>
                <w:color w:val="000000"/>
                <w:lang w:eastAsia="en-GB"/>
              </w:rPr>
              <w:t>Mean</w:t>
            </w:r>
          </w:p>
        </w:tc>
        <w:tc>
          <w:tcPr>
            <w:tcW w:w="2977" w:type="dxa"/>
            <w:gridSpan w:val="2"/>
            <w:vAlign w:val="bottom"/>
          </w:tcPr>
          <w:p w14:paraId="1071C4F9" w14:textId="77777777" w:rsidR="00725070" w:rsidRPr="004F5B81" w:rsidRDefault="00725070" w:rsidP="00725070">
            <w:pPr>
              <w:keepNext/>
              <w:keepLines/>
              <w:jc w:val="center"/>
              <w:rPr>
                <w:b/>
                <w:lang w:bidi="ar-SA"/>
              </w:rPr>
            </w:pPr>
            <w:r w:rsidRPr="004F5B81">
              <w:rPr>
                <w:rFonts w:ascii="Calibri" w:hAnsi="Calibri" w:cs="Calibri"/>
                <w:b/>
                <w:color w:val="000000"/>
                <w:lang w:eastAsia="en-GB"/>
              </w:rPr>
              <w:t>90</w:t>
            </w:r>
            <w:r w:rsidRPr="004F5B81">
              <w:rPr>
                <w:rFonts w:ascii="Calibri" w:hAnsi="Calibri" w:cs="Calibri"/>
                <w:b/>
                <w:color w:val="000000"/>
                <w:vertAlign w:val="superscript"/>
                <w:lang w:eastAsia="en-GB"/>
              </w:rPr>
              <w:t>th</w:t>
            </w:r>
            <w:r w:rsidRPr="004F5B81">
              <w:rPr>
                <w:rFonts w:ascii="Calibri" w:hAnsi="Calibri" w:cs="Calibri"/>
                <w:b/>
                <w:color w:val="000000"/>
                <w:lang w:eastAsia="en-GB"/>
              </w:rPr>
              <w:t xml:space="preserve"> Percentile</w:t>
            </w:r>
          </w:p>
        </w:tc>
      </w:tr>
      <w:tr w:rsidR="00725070" w14:paraId="6ACDF3E2" w14:textId="77777777" w:rsidTr="007E544F">
        <w:tc>
          <w:tcPr>
            <w:tcW w:w="995" w:type="dxa"/>
            <w:vMerge/>
          </w:tcPr>
          <w:p w14:paraId="0C10FAC9" w14:textId="77777777" w:rsidR="00725070" w:rsidRPr="004F5B81" w:rsidRDefault="00725070" w:rsidP="00725070">
            <w:pPr>
              <w:keepNext/>
              <w:keepLines/>
              <w:rPr>
                <w:b/>
                <w:lang w:bidi="ar-SA"/>
              </w:rPr>
            </w:pPr>
          </w:p>
        </w:tc>
        <w:tc>
          <w:tcPr>
            <w:tcW w:w="2119" w:type="dxa"/>
            <w:vMerge/>
          </w:tcPr>
          <w:p w14:paraId="02719A4F" w14:textId="77777777" w:rsidR="00725070" w:rsidRPr="004F5B81" w:rsidRDefault="00725070" w:rsidP="00725070">
            <w:pPr>
              <w:pStyle w:val="FSTableText"/>
              <w:keepNext/>
              <w:keepLines/>
              <w:rPr>
                <w:b/>
                <w:lang w:bidi="ar-SA"/>
              </w:rPr>
            </w:pPr>
          </w:p>
        </w:tc>
        <w:tc>
          <w:tcPr>
            <w:tcW w:w="1134" w:type="dxa"/>
            <w:vAlign w:val="bottom"/>
          </w:tcPr>
          <w:p w14:paraId="5B397F65" w14:textId="77777777" w:rsidR="00725070" w:rsidRPr="004F5B81" w:rsidRDefault="00725070" w:rsidP="00725070">
            <w:pPr>
              <w:pStyle w:val="FSTableText"/>
              <w:keepNext/>
              <w:keepLines/>
              <w:jc w:val="right"/>
              <w:rPr>
                <w:b/>
                <w:lang w:bidi="ar-SA"/>
              </w:rPr>
            </w:pPr>
            <w:r w:rsidRPr="004F5B81">
              <w:rPr>
                <w:b/>
                <w:lang w:bidi="ar-SA"/>
              </w:rPr>
              <w:t>mg/day</w:t>
            </w:r>
          </w:p>
        </w:tc>
        <w:tc>
          <w:tcPr>
            <w:tcW w:w="1559" w:type="dxa"/>
            <w:vAlign w:val="bottom"/>
          </w:tcPr>
          <w:p w14:paraId="47D93676" w14:textId="77777777" w:rsidR="00725070" w:rsidRPr="004F5B81" w:rsidRDefault="00725070" w:rsidP="00725070">
            <w:pPr>
              <w:pStyle w:val="FSTableText"/>
              <w:keepNext/>
              <w:keepLines/>
              <w:jc w:val="right"/>
              <w:rPr>
                <w:b/>
                <w:lang w:bidi="ar-SA"/>
              </w:rPr>
            </w:pPr>
            <w:r w:rsidRPr="004F5B81">
              <w:rPr>
                <w:b/>
                <w:lang w:bidi="ar-SA"/>
              </w:rPr>
              <w:t>mg/kg bw/day</w:t>
            </w:r>
          </w:p>
        </w:tc>
        <w:tc>
          <w:tcPr>
            <w:tcW w:w="1418" w:type="dxa"/>
            <w:vAlign w:val="bottom"/>
          </w:tcPr>
          <w:p w14:paraId="730B2581" w14:textId="77777777" w:rsidR="00725070" w:rsidRPr="004F5B81" w:rsidRDefault="00725070" w:rsidP="00725070">
            <w:pPr>
              <w:pStyle w:val="FSTableText"/>
              <w:keepNext/>
              <w:keepLines/>
              <w:jc w:val="right"/>
              <w:rPr>
                <w:b/>
                <w:lang w:bidi="ar-SA"/>
              </w:rPr>
            </w:pPr>
            <w:r w:rsidRPr="004F5B81">
              <w:rPr>
                <w:b/>
                <w:lang w:bidi="ar-SA"/>
              </w:rPr>
              <w:t>mg/day</w:t>
            </w:r>
          </w:p>
        </w:tc>
        <w:tc>
          <w:tcPr>
            <w:tcW w:w="1559" w:type="dxa"/>
            <w:vAlign w:val="bottom"/>
          </w:tcPr>
          <w:p w14:paraId="0DAAC180" w14:textId="77777777" w:rsidR="00725070" w:rsidRPr="004F5B81" w:rsidRDefault="00725070" w:rsidP="00725070">
            <w:pPr>
              <w:pStyle w:val="FSTableText"/>
              <w:keepNext/>
              <w:keepLines/>
              <w:jc w:val="right"/>
              <w:rPr>
                <w:b/>
                <w:lang w:bidi="ar-SA"/>
              </w:rPr>
            </w:pPr>
            <w:r w:rsidRPr="004F5B81">
              <w:rPr>
                <w:b/>
                <w:lang w:bidi="ar-SA"/>
              </w:rPr>
              <w:t>mg/kg bw/day</w:t>
            </w:r>
          </w:p>
        </w:tc>
      </w:tr>
      <w:tr w:rsidR="00725070" w14:paraId="67E2A279" w14:textId="77777777" w:rsidTr="007E544F">
        <w:trPr>
          <w:trHeight w:val="283"/>
        </w:trPr>
        <w:tc>
          <w:tcPr>
            <w:tcW w:w="995" w:type="dxa"/>
          </w:tcPr>
          <w:p w14:paraId="7A1221A1" w14:textId="77777777" w:rsidR="00725070" w:rsidRDefault="00725070" w:rsidP="00725070">
            <w:pPr>
              <w:pStyle w:val="FSTableText"/>
              <w:keepNext/>
              <w:keepLines/>
              <w:rPr>
                <w:lang w:bidi="ar-SA"/>
              </w:rPr>
            </w:pPr>
            <w:r w:rsidRPr="00D84528">
              <w:rPr>
                <w:lang w:bidi="ar-SA"/>
              </w:rPr>
              <w:t>Australia</w:t>
            </w:r>
          </w:p>
        </w:tc>
        <w:tc>
          <w:tcPr>
            <w:tcW w:w="2119" w:type="dxa"/>
            <w:vAlign w:val="center"/>
          </w:tcPr>
          <w:p w14:paraId="24A1197F" w14:textId="77777777" w:rsidR="00725070" w:rsidRPr="00D84528" w:rsidRDefault="00725070" w:rsidP="00725070">
            <w:pPr>
              <w:pStyle w:val="FSTableText"/>
              <w:keepNext/>
              <w:keepLines/>
              <w:rPr>
                <w:lang w:bidi="ar-SA"/>
              </w:rPr>
            </w:pPr>
            <w:r w:rsidRPr="00D84528">
              <w:rPr>
                <w:lang w:bidi="ar-SA"/>
              </w:rPr>
              <w:t>2 years and above</w:t>
            </w:r>
          </w:p>
        </w:tc>
        <w:tc>
          <w:tcPr>
            <w:tcW w:w="1134" w:type="dxa"/>
            <w:vAlign w:val="center"/>
          </w:tcPr>
          <w:p w14:paraId="535BE84A" w14:textId="77777777" w:rsidR="00725070" w:rsidRDefault="00725070" w:rsidP="00725070">
            <w:pPr>
              <w:pStyle w:val="FSTableText"/>
              <w:keepNext/>
              <w:keepLines/>
              <w:jc w:val="right"/>
              <w:rPr>
                <w:lang w:bidi="ar-SA"/>
              </w:rPr>
            </w:pPr>
            <w:r w:rsidRPr="00065B67">
              <w:rPr>
                <w:lang w:bidi="ar-SA"/>
              </w:rPr>
              <w:t>26.</w:t>
            </w:r>
            <w:r>
              <w:rPr>
                <w:lang w:bidi="ar-SA"/>
              </w:rPr>
              <w:t>4</w:t>
            </w:r>
          </w:p>
        </w:tc>
        <w:tc>
          <w:tcPr>
            <w:tcW w:w="1559" w:type="dxa"/>
            <w:vAlign w:val="center"/>
          </w:tcPr>
          <w:p w14:paraId="07EB3FD8" w14:textId="77777777" w:rsidR="00725070" w:rsidRDefault="00725070" w:rsidP="00725070">
            <w:pPr>
              <w:pStyle w:val="FSTableText"/>
              <w:keepNext/>
              <w:keepLines/>
              <w:jc w:val="right"/>
              <w:rPr>
                <w:lang w:bidi="ar-SA"/>
              </w:rPr>
            </w:pPr>
            <w:r w:rsidRPr="00065B67">
              <w:rPr>
                <w:lang w:bidi="ar-SA"/>
              </w:rPr>
              <w:t>0.43</w:t>
            </w:r>
          </w:p>
        </w:tc>
        <w:tc>
          <w:tcPr>
            <w:tcW w:w="1418" w:type="dxa"/>
            <w:vAlign w:val="center"/>
          </w:tcPr>
          <w:p w14:paraId="66FCF697" w14:textId="77777777" w:rsidR="00725070" w:rsidRDefault="00725070" w:rsidP="00725070">
            <w:pPr>
              <w:pStyle w:val="FSTableText"/>
              <w:keepNext/>
              <w:keepLines/>
              <w:jc w:val="right"/>
              <w:rPr>
                <w:lang w:bidi="ar-SA"/>
              </w:rPr>
            </w:pPr>
            <w:r>
              <w:rPr>
                <w:lang w:bidi="ar-SA"/>
              </w:rPr>
              <w:t>50.0</w:t>
            </w:r>
          </w:p>
        </w:tc>
        <w:tc>
          <w:tcPr>
            <w:tcW w:w="1559" w:type="dxa"/>
            <w:vAlign w:val="center"/>
          </w:tcPr>
          <w:p w14:paraId="118CF6BE" w14:textId="77777777" w:rsidR="00725070" w:rsidRDefault="00725070" w:rsidP="00725070">
            <w:pPr>
              <w:pStyle w:val="FSTableText"/>
              <w:keepNext/>
              <w:keepLines/>
              <w:jc w:val="right"/>
              <w:rPr>
                <w:lang w:bidi="ar-SA"/>
              </w:rPr>
            </w:pPr>
            <w:r w:rsidRPr="00065B67">
              <w:rPr>
                <w:lang w:bidi="ar-SA"/>
              </w:rPr>
              <w:t>0.87</w:t>
            </w:r>
          </w:p>
        </w:tc>
      </w:tr>
      <w:tr w:rsidR="00725070" w14:paraId="627EE89D" w14:textId="77777777" w:rsidTr="007E544F">
        <w:trPr>
          <w:trHeight w:val="283"/>
        </w:trPr>
        <w:tc>
          <w:tcPr>
            <w:tcW w:w="995" w:type="dxa"/>
            <w:vMerge w:val="restart"/>
          </w:tcPr>
          <w:p w14:paraId="7C7FF8C9" w14:textId="77777777" w:rsidR="00725070" w:rsidRDefault="00725070" w:rsidP="00725070">
            <w:pPr>
              <w:pStyle w:val="FSTableText"/>
              <w:keepNext/>
              <w:keepLines/>
              <w:rPr>
                <w:lang w:bidi="ar-SA"/>
              </w:rPr>
            </w:pPr>
            <w:r w:rsidRPr="00D84528">
              <w:rPr>
                <w:lang w:bidi="ar-SA"/>
              </w:rPr>
              <w:t>New Zealand</w:t>
            </w:r>
          </w:p>
        </w:tc>
        <w:tc>
          <w:tcPr>
            <w:tcW w:w="2119" w:type="dxa"/>
            <w:vAlign w:val="center"/>
          </w:tcPr>
          <w:p w14:paraId="54782863" w14:textId="77777777" w:rsidR="00725070" w:rsidRPr="00D84528" w:rsidRDefault="00725070" w:rsidP="00725070">
            <w:pPr>
              <w:pStyle w:val="FSTableText"/>
              <w:keepNext/>
              <w:keepLines/>
              <w:rPr>
                <w:lang w:bidi="ar-SA"/>
              </w:rPr>
            </w:pPr>
            <w:r w:rsidRPr="00D84528">
              <w:rPr>
                <w:lang w:bidi="ar-SA"/>
              </w:rPr>
              <w:t>Children 5-14 years</w:t>
            </w:r>
          </w:p>
        </w:tc>
        <w:tc>
          <w:tcPr>
            <w:tcW w:w="1134" w:type="dxa"/>
            <w:vAlign w:val="center"/>
          </w:tcPr>
          <w:p w14:paraId="20B23110" w14:textId="77777777" w:rsidR="00725070" w:rsidRDefault="00725070" w:rsidP="00725070">
            <w:pPr>
              <w:pStyle w:val="FSTableText"/>
              <w:keepNext/>
              <w:keepLines/>
              <w:jc w:val="right"/>
              <w:rPr>
                <w:lang w:bidi="ar-SA"/>
              </w:rPr>
            </w:pPr>
            <w:r w:rsidRPr="00065B67">
              <w:rPr>
                <w:lang w:bidi="ar-SA"/>
              </w:rPr>
              <w:t>27.</w:t>
            </w:r>
            <w:r>
              <w:rPr>
                <w:lang w:bidi="ar-SA"/>
              </w:rPr>
              <w:t>6</w:t>
            </w:r>
          </w:p>
        </w:tc>
        <w:tc>
          <w:tcPr>
            <w:tcW w:w="1559" w:type="dxa"/>
            <w:vAlign w:val="center"/>
          </w:tcPr>
          <w:p w14:paraId="6F10F725" w14:textId="77777777" w:rsidR="00725070" w:rsidRDefault="00725070" w:rsidP="00725070">
            <w:pPr>
              <w:pStyle w:val="FSTableText"/>
              <w:keepNext/>
              <w:keepLines/>
              <w:jc w:val="right"/>
              <w:rPr>
                <w:lang w:bidi="ar-SA"/>
              </w:rPr>
            </w:pPr>
            <w:r w:rsidRPr="00065B67">
              <w:rPr>
                <w:lang w:bidi="ar-SA"/>
              </w:rPr>
              <w:t>0.76</w:t>
            </w:r>
          </w:p>
        </w:tc>
        <w:tc>
          <w:tcPr>
            <w:tcW w:w="1418" w:type="dxa"/>
            <w:vAlign w:val="center"/>
          </w:tcPr>
          <w:p w14:paraId="78E63974" w14:textId="77777777" w:rsidR="00725070" w:rsidRDefault="00725070" w:rsidP="00725070">
            <w:pPr>
              <w:pStyle w:val="FSTableText"/>
              <w:keepNext/>
              <w:keepLines/>
              <w:jc w:val="right"/>
              <w:rPr>
                <w:lang w:bidi="ar-SA"/>
              </w:rPr>
            </w:pPr>
            <w:r w:rsidRPr="00065B67">
              <w:rPr>
                <w:lang w:bidi="ar-SA"/>
              </w:rPr>
              <w:t>48.</w:t>
            </w:r>
            <w:r>
              <w:rPr>
                <w:lang w:bidi="ar-SA"/>
              </w:rPr>
              <w:t>9</w:t>
            </w:r>
          </w:p>
        </w:tc>
        <w:tc>
          <w:tcPr>
            <w:tcW w:w="1559" w:type="dxa"/>
            <w:vAlign w:val="center"/>
          </w:tcPr>
          <w:p w14:paraId="33371073" w14:textId="77777777" w:rsidR="00725070" w:rsidRDefault="00725070" w:rsidP="00725070">
            <w:pPr>
              <w:pStyle w:val="FSTableText"/>
              <w:keepNext/>
              <w:keepLines/>
              <w:jc w:val="right"/>
              <w:rPr>
                <w:lang w:bidi="ar-SA"/>
              </w:rPr>
            </w:pPr>
            <w:r w:rsidRPr="00065B67">
              <w:rPr>
                <w:lang w:bidi="ar-SA"/>
              </w:rPr>
              <w:t>1.39</w:t>
            </w:r>
          </w:p>
        </w:tc>
      </w:tr>
      <w:tr w:rsidR="00725070" w14:paraId="6EAD8A08" w14:textId="77777777" w:rsidTr="007E544F">
        <w:trPr>
          <w:trHeight w:val="283"/>
        </w:trPr>
        <w:tc>
          <w:tcPr>
            <w:tcW w:w="995" w:type="dxa"/>
            <w:vMerge/>
          </w:tcPr>
          <w:p w14:paraId="39AEAAE6" w14:textId="77777777" w:rsidR="00725070" w:rsidRDefault="00725070" w:rsidP="00725070">
            <w:pPr>
              <w:keepNext/>
              <w:keepLines/>
              <w:rPr>
                <w:lang w:bidi="ar-SA"/>
              </w:rPr>
            </w:pPr>
          </w:p>
        </w:tc>
        <w:tc>
          <w:tcPr>
            <w:tcW w:w="2119" w:type="dxa"/>
            <w:vAlign w:val="center"/>
          </w:tcPr>
          <w:p w14:paraId="7CDF078D" w14:textId="77777777" w:rsidR="00725070" w:rsidRPr="00D84528" w:rsidRDefault="00725070" w:rsidP="00725070">
            <w:pPr>
              <w:pStyle w:val="FSTableText"/>
              <w:keepNext/>
              <w:keepLines/>
              <w:rPr>
                <w:lang w:bidi="ar-SA"/>
              </w:rPr>
            </w:pPr>
            <w:r w:rsidRPr="00D84528">
              <w:rPr>
                <w:lang w:bidi="ar-SA"/>
              </w:rPr>
              <w:t>15 years and above</w:t>
            </w:r>
          </w:p>
        </w:tc>
        <w:tc>
          <w:tcPr>
            <w:tcW w:w="1134" w:type="dxa"/>
            <w:vAlign w:val="center"/>
          </w:tcPr>
          <w:p w14:paraId="1331AFCD" w14:textId="77777777" w:rsidR="00725070" w:rsidRDefault="00725070" w:rsidP="00725070">
            <w:pPr>
              <w:pStyle w:val="FSTableText"/>
              <w:keepNext/>
              <w:keepLines/>
              <w:jc w:val="right"/>
              <w:rPr>
                <w:lang w:bidi="ar-SA"/>
              </w:rPr>
            </w:pPr>
            <w:r w:rsidRPr="00065B67">
              <w:rPr>
                <w:lang w:bidi="ar-SA"/>
              </w:rPr>
              <w:t>27.</w:t>
            </w:r>
            <w:r>
              <w:rPr>
                <w:lang w:bidi="ar-SA"/>
              </w:rPr>
              <w:t>1</w:t>
            </w:r>
          </w:p>
        </w:tc>
        <w:tc>
          <w:tcPr>
            <w:tcW w:w="1559" w:type="dxa"/>
            <w:vAlign w:val="center"/>
          </w:tcPr>
          <w:p w14:paraId="7431FD72" w14:textId="77777777" w:rsidR="00725070" w:rsidRDefault="00725070" w:rsidP="00725070">
            <w:pPr>
              <w:pStyle w:val="FSTableText"/>
              <w:keepNext/>
              <w:keepLines/>
              <w:jc w:val="right"/>
              <w:rPr>
                <w:lang w:bidi="ar-SA"/>
              </w:rPr>
            </w:pPr>
            <w:r w:rsidRPr="00065B67">
              <w:rPr>
                <w:lang w:bidi="ar-SA"/>
              </w:rPr>
              <w:t>0.35</w:t>
            </w:r>
          </w:p>
        </w:tc>
        <w:tc>
          <w:tcPr>
            <w:tcW w:w="1418" w:type="dxa"/>
            <w:vAlign w:val="center"/>
          </w:tcPr>
          <w:p w14:paraId="3CD50489" w14:textId="77777777" w:rsidR="00725070" w:rsidRDefault="00725070" w:rsidP="00725070">
            <w:pPr>
              <w:pStyle w:val="FSTableText"/>
              <w:keepNext/>
              <w:keepLines/>
              <w:jc w:val="right"/>
              <w:rPr>
                <w:lang w:bidi="ar-SA"/>
              </w:rPr>
            </w:pPr>
            <w:r w:rsidRPr="00065B67">
              <w:rPr>
                <w:lang w:bidi="ar-SA"/>
              </w:rPr>
              <w:t>55.</w:t>
            </w:r>
            <w:r>
              <w:rPr>
                <w:lang w:bidi="ar-SA"/>
              </w:rPr>
              <w:t>3</w:t>
            </w:r>
          </w:p>
        </w:tc>
        <w:tc>
          <w:tcPr>
            <w:tcW w:w="1559" w:type="dxa"/>
            <w:vAlign w:val="center"/>
          </w:tcPr>
          <w:p w14:paraId="531BDB01" w14:textId="77777777" w:rsidR="00725070" w:rsidRDefault="00725070" w:rsidP="00725070">
            <w:pPr>
              <w:pStyle w:val="FSTableText"/>
              <w:keepNext/>
              <w:keepLines/>
              <w:jc w:val="right"/>
              <w:rPr>
                <w:lang w:bidi="ar-SA"/>
              </w:rPr>
            </w:pPr>
            <w:r w:rsidRPr="00065B67">
              <w:rPr>
                <w:lang w:bidi="ar-SA"/>
              </w:rPr>
              <w:t>0.71</w:t>
            </w:r>
          </w:p>
        </w:tc>
      </w:tr>
    </w:tbl>
    <w:p w14:paraId="1295387D" w14:textId="76F56717" w:rsidR="00725070" w:rsidRPr="00006534" w:rsidRDefault="00725070" w:rsidP="00725070">
      <w:pPr>
        <w:keepNext/>
        <w:keepLines/>
        <w:rPr>
          <w:sz w:val="18"/>
          <w:lang w:bidi="ar-SA"/>
        </w:rPr>
      </w:pPr>
      <w:r w:rsidRPr="00226D78">
        <w:rPr>
          <w:sz w:val="18"/>
          <w:lang w:bidi="ar-SA"/>
        </w:rPr>
        <w:t>* Based on 1</w:t>
      </w:r>
      <w:r>
        <w:rPr>
          <w:sz w:val="18"/>
          <w:lang w:bidi="ar-SA"/>
        </w:rPr>
        <w:t xml:space="preserve"> µmole</w:t>
      </w:r>
      <w:r w:rsidRPr="00226D78">
        <w:rPr>
          <w:sz w:val="18"/>
          <w:lang w:bidi="ar-SA"/>
        </w:rPr>
        <w:t>/g concentration of glucosinolates in rapeseed protein isolate according to the specifications</w:t>
      </w:r>
      <w:r w:rsidRPr="00D253A8">
        <w:rPr>
          <w:sz w:val="18"/>
          <w:lang w:bidi="ar-SA"/>
        </w:rPr>
        <w:t>.</w:t>
      </w:r>
      <w:r>
        <w:rPr>
          <w:rFonts w:ascii="Times New Roman" w:hAnsi="Times New Roman"/>
          <w:sz w:val="17"/>
          <w:szCs w:val="17"/>
          <w:lang w:eastAsia="en-GB" w:bidi="ar-SA"/>
        </w:rPr>
        <w:t xml:space="preserve"> </w:t>
      </w:r>
      <w:r w:rsidRPr="00006534">
        <w:rPr>
          <w:sz w:val="18"/>
          <w:lang w:bidi="ar-SA"/>
        </w:rPr>
        <w:t>Calculations for total glucosinolates based on molecular weight of 455</w:t>
      </w:r>
      <w:r>
        <w:rPr>
          <w:sz w:val="18"/>
          <w:lang w:bidi="ar-SA"/>
        </w:rPr>
        <w:t xml:space="preserve"> g/mol (VanEtten et</w:t>
      </w:r>
      <w:r w:rsidRPr="00006534">
        <w:rPr>
          <w:sz w:val="18"/>
          <w:lang w:bidi="ar-SA"/>
        </w:rPr>
        <w:t xml:space="preserve"> al. 1980).</w:t>
      </w:r>
    </w:p>
    <w:p w14:paraId="40327249" w14:textId="7B843E9E" w:rsidR="00725070" w:rsidRPr="000256D8" w:rsidRDefault="00725070" w:rsidP="000256D8">
      <w:pPr>
        <w:rPr>
          <w:lang w:bidi="ar-SA"/>
        </w:rPr>
      </w:pPr>
    </w:p>
    <w:p w14:paraId="49983AD0" w14:textId="1ADAF125" w:rsidR="00C62BFC" w:rsidRDefault="00C62BFC" w:rsidP="00C62BFC">
      <w:r w:rsidRPr="00A87A47">
        <w:t>Australians aged 2 years and above were exposed to more glucosinolates from rapeseed protein isolate</w:t>
      </w:r>
      <w:r w:rsidR="00A87A47" w:rsidRPr="00A87A47">
        <w:t xml:space="preserve"> (based on maximum proposed use levels)</w:t>
      </w:r>
      <w:r w:rsidRPr="00A87A47">
        <w:t xml:space="preserve"> </w:t>
      </w:r>
      <w:r w:rsidR="007E544F">
        <w:t xml:space="preserve">(Table A1.6) </w:t>
      </w:r>
      <w:r w:rsidRPr="00A87A47">
        <w:t xml:space="preserve">than from </w:t>
      </w:r>
      <w:r w:rsidR="00D15586" w:rsidRPr="00DA0240">
        <w:rPr>
          <w:i/>
          <w:lang w:bidi="ar-SA"/>
        </w:rPr>
        <w:t>Brassica</w:t>
      </w:r>
      <w:r w:rsidR="00D15586" w:rsidRPr="00A87A47">
        <w:t xml:space="preserve"> </w:t>
      </w:r>
      <w:r w:rsidRPr="00A87A47">
        <w:t xml:space="preserve">vegetables </w:t>
      </w:r>
      <w:r w:rsidR="00A87A47" w:rsidRPr="00A87A47">
        <w:t xml:space="preserve">(Table </w:t>
      </w:r>
      <w:r w:rsidR="007E544F">
        <w:t>6</w:t>
      </w:r>
      <w:r w:rsidR="00A87A47" w:rsidRPr="00A87A47">
        <w:t xml:space="preserve">.6) </w:t>
      </w:r>
      <w:r w:rsidRPr="00A87A47">
        <w:t>based on mean and 90</w:t>
      </w:r>
      <w:r w:rsidRPr="00A87A47">
        <w:rPr>
          <w:vertAlign w:val="superscript"/>
        </w:rPr>
        <w:t>th</w:t>
      </w:r>
      <w:r w:rsidRPr="00A87A47">
        <w:t xml:space="preserve"> percentile dietary exposures both in mg/day and on a body weight basis. However, for New Zealand children 5-14 years and adults 15 years and above, mean and 90</w:t>
      </w:r>
      <w:r w:rsidRPr="00A87A47">
        <w:rPr>
          <w:vertAlign w:val="superscript"/>
        </w:rPr>
        <w:t>th</w:t>
      </w:r>
      <w:r w:rsidRPr="00A87A47">
        <w:t xml:space="preserve"> percentile dietary exposures to glucosinolates from </w:t>
      </w:r>
      <w:r w:rsidR="00D15586" w:rsidRPr="00DA0240">
        <w:rPr>
          <w:i/>
          <w:lang w:bidi="ar-SA"/>
        </w:rPr>
        <w:t>Brassica</w:t>
      </w:r>
      <w:r w:rsidR="00D15586" w:rsidRPr="00A87A47">
        <w:t xml:space="preserve"> </w:t>
      </w:r>
      <w:r w:rsidR="00A87A47" w:rsidRPr="00A87A47">
        <w:t xml:space="preserve">(Table </w:t>
      </w:r>
      <w:r w:rsidR="007E544F">
        <w:t>6</w:t>
      </w:r>
      <w:r w:rsidR="00A87A47" w:rsidRPr="00A87A47">
        <w:t>.6)</w:t>
      </w:r>
      <w:r w:rsidRPr="00A87A47">
        <w:t xml:space="preserve"> were higher than exposures from rapeseed protein isolate </w:t>
      </w:r>
      <w:r w:rsidR="007E544F">
        <w:t xml:space="preserve">(Table A1.6) </w:t>
      </w:r>
      <w:r w:rsidRPr="00A87A47">
        <w:t>both in mg/day and on a body weight basis.</w:t>
      </w:r>
    </w:p>
    <w:p w14:paraId="3CEAD43E" w14:textId="065DD89E" w:rsidR="007E544F" w:rsidRDefault="007E544F" w:rsidP="00725070">
      <w:pPr>
        <w:rPr>
          <w:lang w:bidi="ar-SA"/>
        </w:rPr>
      </w:pPr>
    </w:p>
    <w:p w14:paraId="594BC9D0" w14:textId="77777777" w:rsidR="007E544F" w:rsidRPr="007E544F" w:rsidRDefault="007E544F" w:rsidP="00725070">
      <w:pPr>
        <w:rPr>
          <w:lang w:bidi="ar-SA"/>
        </w:rPr>
      </w:pPr>
    </w:p>
    <w:sectPr w:rsidR="007E544F" w:rsidRPr="007E544F"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4611" w14:textId="77777777" w:rsidR="006574B6" w:rsidRDefault="006574B6">
      <w:r>
        <w:separator/>
      </w:r>
    </w:p>
  </w:endnote>
  <w:endnote w:type="continuationSeparator" w:id="0">
    <w:p w14:paraId="2A41E970" w14:textId="77777777" w:rsidR="006574B6" w:rsidRDefault="006574B6">
      <w:r>
        <w:continuationSeparator/>
      </w:r>
    </w:p>
  </w:endnote>
  <w:endnote w:type="continuationNotice" w:id="1">
    <w:p w14:paraId="0477489B" w14:textId="77777777" w:rsidR="006574B6" w:rsidRDefault="00657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0758" w14:textId="37DDAA6F" w:rsidR="00FD2CD1" w:rsidRDefault="00FD2CD1" w:rsidP="0076481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6ECB8ED" w14:textId="77777777" w:rsidR="00FD2CD1" w:rsidRDefault="00FD2CD1" w:rsidP="006F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E4C0" w14:textId="32435C98" w:rsidR="00FD2CD1" w:rsidRDefault="00FD2CD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4B6">
      <w:rPr>
        <w:rStyle w:val="PageNumber"/>
        <w:noProof/>
      </w:rPr>
      <w:t>i</w:t>
    </w:r>
    <w:r>
      <w:rPr>
        <w:rStyle w:val="PageNumber"/>
      </w:rPr>
      <w:fldChar w:fldCharType="end"/>
    </w:r>
  </w:p>
  <w:p w14:paraId="5E868CEA" w14:textId="77777777" w:rsidR="00FD2CD1" w:rsidRDefault="00FD2CD1" w:rsidP="006F39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0B931" w14:textId="77777777" w:rsidR="006574B6" w:rsidRDefault="006574B6">
      <w:r>
        <w:separator/>
      </w:r>
    </w:p>
  </w:footnote>
  <w:footnote w:type="continuationSeparator" w:id="0">
    <w:p w14:paraId="069A12CF" w14:textId="77777777" w:rsidR="006574B6" w:rsidRDefault="006574B6">
      <w:r>
        <w:continuationSeparator/>
      </w:r>
    </w:p>
  </w:footnote>
  <w:footnote w:type="continuationNotice" w:id="1">
    <w:p w14:paraId="54C5AB12" w14:textId="77777777" w:rsidR="006574B6" w:rsidRDefault="006574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18E7" w14:textId="49787E63" w:rsidR="00FD2CD1" w:rsidRDefault="00FD2CD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DCD"/>
    <w:multiLevelType w:val="hybridMultilevel"/>
    <w:tmpl w:val="44D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A3D65"/>
    <w:multiLevelType w:val="hybridMultilevel"/>
    <w:tmpl w:val="FCDE6E84"/>
    <w:lvl w:ilvl="0" w:tplc="D88CF3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545CB"/>
    <w:multiLevelType w:val="hybridMultilevel"/>
    <w:tmpl w:val="9CFCD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2792A"/>
    <w:multiLevelType w:val="hybridMultilevel"/>
    <w:tmpl w:val="10B8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0C01A9"/>
    <w:multiLevelType w:val="hybridMultilevel"/>
    <w:tmpl w:val="D80A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1302B"/>
    <w:multiLevelType w:val="multilevel"/>
    <w:tmpl w:val="60D8A43C"/>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1F14E7"/>
    <w:multiLevelType w:val="hybridMultilevel"/>
    <w:tmpl w:val="4074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C5D6D"/>
    <w:multiLevelType w:val="hybridMultilevel"/>
    <w:tmpl w:val="C2C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D10F1"/>
    <w:multiLevelType w:val="hybridMultilevel"/>
    <w:tmpl w:val="3F16B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5674050"/>
    <w:multiLevelType w:val="hybridMultilevel"/>
    <w:tmpl w:val="EED4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D904802"/>
    <w:multiLevelType w:val="hybridMultilevel"/>
    <w:tmpl w:val="AE2688A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A7199"/>
    <w:multiLevelType w:val="hybridMultilevel"/>
    <w:tmpl w:val="73282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7226A"/>
    <w:multiLevelType w:val="hybridMultilevel"/>
    <w:tmpl w:val="EC0E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F0AB4"/>
    <w:multiLevelType w:val="hybridMultilevel"/>
    <w:tmpl w:val="855C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96DD4"/>
    <w:multiLevelType w:val="hybridMultilevel"/>
    <w:tmpl w:val="C5D2BE1E"/>
    <w:lvl w:ilvl="0" w:tplc="D88CF3F0">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172C7"/>
    <w:multiLevelType w:val="hybridMultilevel"/>
    <w:tmpl w:val="0972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55754"/>
    <w:multiLevelType w:val="hybridMultilevel"/>
    <w:tmpl w:val="18EA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03E07"/>
    <w:multiLevelType w:val="hybridMultilevel"/>
    <w:tmpl w:val="FE220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900BF"/>
    <w:multiLevelType w:val="hybridMultilevel"/>
    <w:tmpl w:val="05169ED2"/>
    <w:lvl w:ilvl="0" w:tplc="7D3017CA">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7ED8680B"/>
    <w:multiLevelType w:val="hybridMultilevel"/>
    <w:tmpl w:val="54DE391E"/>
    <w:lvl w:ilvl="0" w:tplc="D88CF3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7"/>
  </w:num>
  <w:num w:numId="5">
    <w:abstractNumId w:val="5"/>
  </w:num>
  <w:num w:numId="6">
    <w:abstractNumId w:val="14"/>
  </w:num>
  <w:num w:numId="7">
    <w:abstractNumId w:val="19"/>
  </w:num>
  <w:num w:numId="8">
    <w:abstractNumId w:val="20"/>
  </w:num>
  <w:num w:numId="9">
    <w:abstractNumId w:val="18"/>
  </w:num>
  <w:num w:numId="10">
    <w:abstractNumId w:val="2"/>
  </w:num>
  <w:num w:numId="11">
    <w:abstractNumId w:val="21"/>
  </w:num>
  <w:num w:numId="12">
    <w:abstractNumId w:val="8"/>
  </w:num>
  <w:num w:numId="13">
    <w:abstractNumId w:val="17"/>
  </w:num>
  <w:num w:numId="14">
    <w:abstractNumId w:val="15"/>
  </w:num>
  <w:num w:numId="15">
    <w:abstractNumId w:val="9"/>
  </w:num>
  <w:num w:numId="16">
    <w:abstractNumId w:val="10"/>
  </w:num>
  <w:num w:numId="17">
    <w:abstractNumId w:val="12"/>
  </w:num>
  <w:num w:numId="18">
    <w:abstractNumId w:val="1"/>
  </w:num>
  <w:num w:numId="19">
    <w:abstractNumId w:val="23"/>
  </w:num>
  <w:num w:numId="20">
    <w:abstractNumId w:val="3"/>
  </w:num>
  <w:num w:numId="21">
    <w:abstractNumId w:val="22"/>
  </w:num>
  <w:num w:numId="22">
    <w:abstractNumId w:val="16"/>
  </w:num>
  <w:num w:numId="23">
    <w:abstractNumId w:val="11"/>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B1"/>
    <w:rsid w:val="000011F8"/>
    <w:rsid w:val="00001444"/>
    <w:rsid w:val="00001CF2"/>
    <w:rsid w:val="00001F60"/>
    <w:rsid w:val="00002084"/>
    <w:rsid w:val="000020FA"/>
    <w:rsid w:val="000021C5"/>
    <w:rsid w:val="0000247B"/>
    <w:rsid w:val="000029EE"/>
    <w:rsid w:val="00002DF2"/>
    <w:rsid w:val="000031BB"/>
    <w:rsid w:val="00003459"/>
    <w:rsid w:val="0000428D"/>
    <w:rsid w:val="000045FF"/>
    <w:rsid w:val="00004659"/>
    <w:rsid w:val="0000469B"/>
    <w:rsid w:val="000050A9"/>
    <w:rsid w:val="000050F5"/>
    <w:rsid w:val="0000553E"/>
    <w:rsid w:val="00005E79"/>
    <w:rsid w:val="000064BE"/>
    <w:rsid w:val="00006534"/>
    <w:rsid w:val="00007025"/>
    <w:rsid w:val="00007122"/>
    <w:rsid w:val="00010278"/>
    <w:rsid w:val="00010DE8"/>
    <w:rsid w:val="000119BC"/>
    <w:rsid w:val="00011BF1"/>
    <w:rsid w:val="00011E0A"/>
    <w:rsid w:val="00012470"/>
    <w:rsid w:val="00012AE7"/>
    <w:rsid w:val="000131A9"/>
    <w:rsid w:val="0001356A"/>
    <w:rsid w:val="00014615"/>
    <w:rsid w:val="0001543A"/>
    <w:rsid w:val="00015801"/>
    <w:rsid w:val="00016138"/>
    <w:rsid w:val="00016178"/>
    <w:rsid w:val="0001655D"/>
    <w:rsid w:val="000166DD"/>
    <w:rsid w:val="00016AA0"/>
    <w:rsid w:val="00016C4D"/>
    <w:rsid w:val="00017C42"/>
    <w:rsid w:val="00021438"/>
    <w:rsid w:val="00022799"/>
    <w:rsid w:val="00022B01"/>
    <w:rsid w:val="0002358B"/>
    <w:rsid w:val="00023F75"/>
    <w:rsid w:val="0002508E"/>
    <w:rsid w:val="0002517D"/>
    <w:rsid w:val="000254A3"/>
    <w:rsid w:val="000256D8"/>
    <w:rsid w:val="00025F12"/>
    <w:rsid w:val="00025F1D"/>
    <w:rsid w:val="0002678B"/>
    <w:rsid w:val="00026BC5"/>
    <w:rsid w:val="000278D5"/>
    <w:rsid w:val="00027987"/>
    <w:rsid w:val="0003011B"/>
    <w:rsid w:val="00030778"/>
    <w:rsid w:val="000314D1"/>
    <w:rsid w:val="000316DD"/>
    <w:rsid w:val="00031FFF"/>
    <w:rsid w:val="00033CC9"/>
    <w:rsid w:val="000347E3"/>
    <w:rsid w:val="00034BAD"/>
    <w:rsid w:val="00035299"/>
    <w:rsid w:val="000355AB"/>
    <w:rsid w:val="00035AE6"/>
    <w:rsid w:val="00035F52"/>
    <w:rsid w:val="00035FF3"/>
    <w:rsid w:val="000370E8"/>
    <w:rsid w:val="00037102"/>
    <w:rsid w:val="00037CAC"/>
    <w:rsid w:val="00037D23"/>
    <w:rsid w:val="0004062D"/>
    <w:rsid w:val="000409CC"/>
    <w:rsid w:val="00041241"/>
    <w:rsid w:val="000414CD"/>
    <w:rsid w:val="0004151E"/>
    <w:rsid w:val="00041561"/>
    <w:rsid w:val="00042380"/>
    <w:rsid w:val="00042960"/>
    <w:rsid w:val="000429C6"/>
    <w:rsid w:val="00042F26"/>
    <w:rsid w:val="000436C9"/>
    <w:rsid w:val="000443E9"/>
    <w:rsid w:val="000448DD"/>
    <w:rsid w:val="00044E61"/>
    <w:rsid w:val="000451F1"/>
    <w:rsid w:val="00046263"/>
    <w:rsid w:val="00046502"/>
    <w:rsid w:val="0004670E"/>
    <w:rsid w:val="00046AC7"/>
    <w:rsid w:val="00046BDD"/>
    <w:rsid w:val="00046EB7"/>
    <w:rsid w:val="000477D1"/>
    <w:rsid w:val="0005007F"/>
    <w:rsid w:val="00050901"/>
    <w:rsid w:val="00050DFD"/>
    <w:rsid w:val="00051021"/>
    <w:rsid w:val="00051BD0"/>
    <w:rsid w:val="00051ED9"/>
    <w:rsid w:val="000524AD"/>
    <w:rsid w:val="00052EA3"/>
    <w:rsid w:val="00052F5C"/>
    <w:rsid w:val="000547C8"/>
    <w:rsid w:val="00054D26"/>
    <w:rsid w:val="0005536A"/>
    <w:rsid w:val="0005567F"/>
    <w:rsid w:val="0005591F"/>
    <w:rsid w:val="0005626E"/>
    <w:rsid w:val="00056423"/>
    <w:rsid w:val="0005665B"/>
    <w:rsid w:val="000567F7"/>
    <w:rsid w:val="00057181"/>
    <w:rsid w:val="000571A1"/>
    <w:rsid w:val="000572CF"/>
    <w:rsid w:val="00057652"/>
    <w:rsid w:val="0006017D"/>
    <w:rsid w:val="0006121A"/>
    <w:rsid w:val="00062944"/>
    <w:rsid w:val="00062BFA"/>
    <w:rsid w:val="00062D02"/>
    <w:rsid w:val="00063AAC"/>
    <w:rsid w:val="00064044"/>
    <w:rsid w:val="00064550"/>
    <w:rsid w:val="00064588"/>
    <w:rsid w:val="0006473A"/>
    <w:rsid w:val="00064B2D"/>
    <w:rsid w:val="00064C39"/>
    <w:rsid w:val="00065D26"/>
    <w:rsid w:val="00065F1F"/>
    <w:rsid w:val="00066B6A"/>
    <w:rsid w:val="00066D24"/>
    <w:rsid w:val="00067CE0"/>
    <w:rsid w:val="000703C1"/>
    <w:rsid w:val="00070633"/>
    <w:rsid w:val="00070732"/>
    <w:rsid w:val="00071233"/>
    <w:rsid w:val="0007192F"/>
    <w:rsid w:val="000719F8"/>
    <w:rsid w:val="00071AE6"/>
    <w:rsid w:val="00072C7A"/>
    <w:rsid w:val="00073511"/>
    <w:rsid w:val="0007356D"/>
    <w:rsid w:val="000735FE"/>
    <w:rsid w:val="00073743"/>
    <w:rsid w:val="0007569A"/>
    <w:rsid w:val="00075E92"/>
    <w:rsid w:val="0007610E"/>
    <w:rsid w:val="00076495"/>
    <w:rsid w:val="00076915"/>
    <w:rsid w:val="00076A2F"/>
    <w:rsid w:val="00076D33"/>
    <w:rsid w:val="00080107"/>
    <w:rsid w:val="00080268"/>
    <w:rsid w:val="0008033D"/>
    <w:rsid w:val="00080C51"/>
    <w:rsid w:val="00080E2F"/>
    <w:rsid w:val="000817E0"/>
    <w:rsid w:val="00081AB0"/>
    <w:rsid w:val="00081BFD"/>
    <w:rsid w:val="00081C8C"/>
    <w:rsid w:val="00082022"/>
    <w:rsid w:val="000826AB"/>
    <w:rsid w:val="00083338"/>
    <w:rsid w:val="000844A7"/>
    <w:rsid w:val="00084776"/>
    <w:rsid w:val="00084DB3"/>
    <w:rsid w:val="000857BC"/>
    <w:rsid w:val="00085866"/>
    <w:rsid w:val="00085932"/>
    <w:rsid w:val="00085C76"/>
    <w:rsid w:val="00086232"/>
    <w:rsid w:val="0008709E"/>
    <w:rsid w:val="00090053"/>
    <w:rsid w:val="00090971"/>
    <w:rsid w:val="00090CE1"/>
    <w:rsid w:val="000914E9"/>
    <w:rsid w:val="00092CDA"/>
    <w:rsid w:val="00092D90"/>
    <w:rsid w:val="000934BC"/>
    <w:rsid w:val="000935F8"/>
    <w:rsid w:val="00094426"/>
    <w:rsid w:val="00094520"/>
    <w:rsid w:val="00094A1F"/>
    <w:rsid w:val="00095550"/>
    <w:rsid w:val="000958CA"/>
    <w:rsid w:val="0009590C"/>
    <w:rsid w:val="00095F44"/>
    <w:rsid w:val="00096712"/>
    <w:rsid w:val="000976A9"/>
    <w:rsid w:val="0009786F"/>
    <w:rsid w:val="0009796E"/>
    <w:rsid w:val="00097D2A"/>
    <w:rsid w:val="000A031B"/>
    <w:rsid w:val="000A03E8"/>
    <w:rsid w:val="000A0880"/>
    <w:rsid w:val="000A1453"/>
    <w:rsid w:val="000A1C9F"/>
    <w:rsid w:val="000A1FB2"/>
    <w:rsid w:val="000A27E9"/>
    <w:rsid w:val="000A34C6"/>
    <w:rsid w:val="000A35FF"/>
    <w:rsid w:val="000A380C"/>
    <w:rsid w:val="000A3A43"/>
    <w:rsid w:val="000A3D8B"/>
    <w:rsid w:val="000A4720"/>
    <w:rsid w:val="000A4BC9"/>
    <w:rsid w:val="000A4CCF"/>
    <w:rsid w:val="000A4CDB"/>
    <w:rsid w:val="000A5957"/>
    <w:rsid w:val="000A5BE2"/>
    <w:rsid w:val="000A5DF8"/>
    <w:rsid w:val="000A7480"/>
    <w:rsid w:val="000A7587"/>
    <w:rsid w:val="000A7C2A"/>
    <w:rsid w:val="000A7E00"/>
    <w:rsid w:val="000B05AC"/>
    <w:rsid w:val="000B15C1"/>
    <w:rsid w:val="000B1D23"/>
    <w:rsid w:val="000B29AA"/>
    <w:rsid w:val="000B2DED"/>
    <w:rsid w:val="000B3149"/>
    <w:rsid w:val="000B3806"/>
    <w:rsid w:val="000B403A"/>
    <w:rsid w:val="000B441F"/>
    <w:rsid w:val="000B4543"/>
    <w:rsid w:val="000B48C0"/>
    <w:rsid w:val="000B5087"/>
    <w:rsid w:val="000B5307"/>
    <w:rsid w:val="000B574D"/>
    <w:rsid w:val="000B5C46"/>
    <w:rsid w:val="000B5DA6"/>
    <w:rsid w:val="000B66AB"/>
    <w:rsid w:val="000B6A9D"/>
    <w:rsid w:val="000B6AF2"/>
    <w:rsid w:val="000B6FFB"/>
    <w:rsid w:val="000B7953"/>
    <w:rsid w:val="000B7AB1"/>
    <w:rsid w:val="000B7F44"/>
    <w:rsid w:val="000C0850"/>
    <w:rsid w:val="000C0D96"/>
    <w:rsid w:val="000C16F1"/>
    <w:rsid w:val="000C2738"/>
    <w:rsid w:val="000C27A3"/>
    <w:rsid w:val="000C329A"/>
    <w:rsid w:val="000C3625"/>
    <w:rsid w:val="000C3CC0"/>
    <w:rsid w:val="000C486F"/>
    <w:rsid w:val="000C4E94"/>
    <w:rsid w:val="000C4EC2"/>
    <w:rsid w:val="000C5530"/>
    <w:rsid w:val="000C66BA"/>
    <w:rsid w:val="000C6A6F"/>
    <w:rsid w:val="000C6E83"/>
    <w:rsid w:val="000C7A83"/>
    <w:rsid w:val="000D034E"/>
    <w:rsid w:val="000D0647"/>
    <w:rsid w:val="000D0D59"/>
    <w:rsid w:val="000D1C3C"/>
    <w:rsid w:val="000D1C52"/>
    <w:rsid w:val="000D1E49"/>
    <w:rsid w:val="000D2634"/>
    <w:rsid w:val="000D28F5"/>
    <w:rsid w:val="000D2EF9"/>
    <w:rsid w:val="000D3ACA"/>
    <w:rsid w:val="000D4E1A"/>
    <w:rsid w:val="000D51AE"/>
    <w:rsid w:val="000D6FD4"/>
    <w:rsid w:val="000D79EE"/>
    <w:rsid w:val="000E0AE4"/>
    <w:rsid w:val="000E0D5D"/>
    <w:rsid w:val="000E2010"/>
    <w:rsid w:val="000E2E38"/>
    <w:rsid w:val="000E3DBC"/>
    <w:rsid w:val="000E3DFB"/>
    <w:rsid w:val="000E4229"/>
    <w:rsid w:val="000E4474"/>
    <w:rsid w:val="000E44C2"/>
    <w:rsid w:val="000E46A3"/>
    <w:rsid w:val="000E5657"/>
    <w:rsid w:val="000E56AD"/>
    <w:rsid w:val="000E5FA9"/>
    <w:rsid w:val="000E6813"/>
    <w:rsid w:val="000E69DC"/>
    <w:rsid w:val="000E7028"/>
    <w:rsid w:val="000E758E"/>
    <w:rsid w:val="000E7CCD"/>
    <w:rsid w:val="000E7CEE"/>
    <w:rsid w:val="000F1C0F"/>
    <w:rsid w:val="000F1F91"/>
    <w:rsid w:val="000F2392"/>
    <w:rsid w:val="000F2A18"/>
    <w:rsid w:val="000F2D15"/>
    <w:rsid w:val="000F2F4A"/>
    <w:rsid w:val="000F2F6C"/>
    <w:rsid w:val="000F31F9"/>
    <w:rsid w:val="000F32C5"/>
    <w:rsid w:val="000F34AB"/>
    <w:rsid w:val="000F3A0C"/>
    <w:rsid w:val="000F3A94"/>
    <w:rsid w:val="000F3F95"/>
    <w:rsid w:val="000F42D0"/>
    <w:rsid w:val="000F43AB"/>
    <w:rsid w:val="000F47FF"/>
    <w:rsid w:val="000F4FD4"/>
    <w:rsid w:val="000F515D"/>
    <w:rsid w:val="000F545A"/>
    <w:rsid w:val="000F58D2"/>
    <w:rsid w:val="000F59AD"/>
    <w:rsid w:val="000F6AE1"/>
    <w:rsid w:val="000F734E"/>
    <w:rsid w:val="000F735A"/>
    <w:rsid w:val="000F77DF"/>
    <w:rsid w:val="00101DF6"/>
    <w:rsid w:val="00102F77"/>
    <w:rsid w:val="00103253"/>
    <w:rsid w:val="001041C4"/>
    <w:rsid w:val="0010447E"/>
    <w:rsid w:val="0010463A"/>
    <w:rsid w:val="00104668"/>
    <w:rsid w:val="00104962"/>
    <w:rsid w:val="0010567D"/>
    <w:rsid w:val="0010591C"/>
    <w:rsid w:val="00105E68"/>
    <w:rsid w:val="001061AE"/>
    <w:rsid w:val="00106BDF"/>
    <w:rsid w:val="00106E94"/>
    <w:rsid w:val="00107175"/>
    <w:rsid w:val="00107744"/>
    <w:rsid w:val="00107A1B"/>
    <w:rsid w:val="00110A00"/>
    <w:rsid w:val="0011209B"/>
    <w:rsid w:val="0011267A"/>
    <w:rsid w:val="00112D70"/>
    <w:rsid w:val="00113378"/>
    <w:rsid w:val="0011341F"/>
    <w:rsid w:val="00113A85"/>
    <w:rsid w:val="00113CE3"/>
    <w:rsid w:val="00114270"/>
    <w:rsid w:val="00115C95"/>
    <w:rsid w:val="00117522"/>
    <w:rsid w:val="0011757A"/>
    <w:rsid w:val="00120386"/>
    <w:rsid w:val="0012060F"/>
    <w:rsid w:val="00120C60"/>
    <w:rsid w:val="00121448"/>
    <w:rsid w:val="001217DB"/>
    <w:rsid w:val="00121F32"/>
    <w:rsid w:val="001221DA"/>
    <w:rsid w:val="00122ABD"/>
    <w:rsid w:val="001231DA"/>
    <w:rsid w:val="00123671"/>
    <w:rsid w:val="0012379A"/>
    <w:rsid w:val="00124684"/>
    <w:rsid w:val="00125234"/>
    <w:rsid w:val="00125699"/>
    <w:rsid w:val="00125888"/>
    <w:rsid w:val="00125DA2"/>
    <w:rsid w:val="00126A3F"/>
    <w:rsid w:val="00126F8E"/>
    <w:rsid w:val="0012767D"/>
    <w:rsid w:val="001301C2"/>
    <w:rsid w:val="001302F9"/>
    <w:rsid w:val="001308BD"/>
    <w:rsid w:val="00130B73"/>
    <w:rsid w:val="0013229C"/>
    <w:rsid w:val="0013300D"/>
    <w:rsid w:val="001334D3"/>
    <w:rsid w:val="001339E3"/>
    <w:rsid w:val="00133F9F"/>
    <w:rsid w:val="00134543"/>
    <w:rsid w:val="0013484F"/>
    <w:rsid w:val="0013547B"/>
    <w:rsid w:val="001361E6"/>
    <w:rsid w:val="00136625"/>
    <w:rsid w:val="00136CD8"/>
    <w:rsid w:val="00140066"/>
    <w:rsid w:val="001400E4"/>
    <w:rsid w:val="0014034F"/>
    <w:rsid w:val="00140B2B"/>
    <w:rsid w:val="00141825"/>
    <w:rsid w:val="001418E5"/>
    <w:rsid w:val="0014195C"/>
    <w:rsid w:val="00143655"/>
    <w:rsid w:val="00143863"/>
    <w:rsid w:val="00143A22"/>
    <w:rsid w:val="00143C09"/>
    <w:rsid w:val="001444A2"/>
    <w:rsid w:val="00144936"/>
    <w:rsid w:val="00145DD5"/>
    <w:rsid w:val="001463B0"/>
    <w:rsid w:val="0014687E"/>
    <w:rsid w:val="00146FEA"/>
    <w:rsid w:val="0014712B"/>
    <w:rsid w:val="00147BEC"/>
    <w:rsid w:val="00147FE3"/>
    <w:rsid w:val="00150704"/>
    <w:rsid w:val="001509A8"/>
    <w:rsid w:val="001517B9"/>
    <w:rsid w:val="00151AB0"/>
    <w:rsid w:val="00151E0A"/>
    <w:rsid w:val="00152404"/>
    <w:rsid w:val="0015324B"/>
    <w:rsid w:val="001533C5"/>
    <w:rsid w:val="0015360A"/>
    <w:rsid w:val="001542D8"/>
    <w:rsid w:val="00154573"/>
    <w:rsid w:val="0015479D"/>
    <w:rsid w:val="00155231"/>
    <w:rsid w:val="00155639"/>
    <w:rsid w:val="00155CD1"/>
    <w:rsid w:val="00156808"/>
    <w:rsid w:val="00156DE0"/>
    <w:rsid w:val="00156F0C"/>
    <w:rsid w:val="00157151"/>
    <w:rsid w:val="00157866"/>
    <w:rsid w:val="00157FBF"/>
    <w:rsid w:val="0016031E"/>
    <w:rsid w:val="00160AFD"/>
    <w:rsid w:val="0016110D"/>
    <w:rsid w:val="0016146F"/>
    <w:rsid w:val="001625B9"/>
    <w:rsid w:val="00163265"/>
    <w:rsid w:val="001646CE"/>
    <w:rsid w:val="00165532"/>
    <w:rsid w:val="001666EE"/>
    <w:rsid w:val="00166F7A"/>
    <w:rsid w:val="001712C2"/>
    <w:rsid w:val="00171896"/>
    <w:rsid w:val="001718A3"/>
    <w:rsid w:val="0017235B"/>
    <w:rsid w:val="001726CF"/>
    <w:rsid w:val="00173D71"/>
    <w:rsid w:val="00174432"/>
    <w:rsid w:val="001748FA"/>
    <w:rsid w:val="001750EE"/>
    <w:rsid w:val="0017532F"/>
    <w:rsid w:val="00175997"/>
    <w:rsid w:val="00176597"/>
    <w:rsid w:val="00176B76"/>
    <w:rsid w:val="001773BA"/>
    <w:rsid w:val="00177613"/>
    <w:rsid w:val="001802B9"/>
    <w:rsid w:val="00180C41"/>
    <w:rsid w:val="0018112A"/>
    <w:rsid w:val="00181C52"/>
    <w:rsid w:val="00182C4C"/>
    <w:rsid w:val="0018336C"/>
    <w:rsid w:val="001838BE"/>
    <w:rsid w:val="00183F89"/>
    <w:rsid w:val="001849A2"/>
    <w:rsid w:val="00184C00"/>
    <w:rsid w:val="00184DC2"/>
    <w:rsid w:val="00185E8A"/>
    <w:rsid w:val="001872D5"/>
    <w:rsid w:val="0018785D"/>
    <w:rsid w:val="00187FFC"/>
    <w:rsid w:val="001918E1"/>
    <w:rsid w:val="00192094"/>
    <w:rsid w:val="001920D4"/>
    <w:rsid w:val="0019230D"/>
    <w:rsid w:val="001926E4"/>
    <w:rsid w:val="001930C4"/>
    <w:rsid w:val="00193947"/>
    <w:rsid w:val="00194BD6"/>
    <w:rsid w:val="00195F35"/>
    <w:rsid w:val="0019617F"/>
    <w:rsid w:val="00196506"/>
    <w:rsid w:val="00197D33"/>
    <w:rsid w:val="00197D8D"/>
    <w:rsid w:val="00197F3C"/>
    <w:rsid w:val="001A072E"/>
    <w:rsid w:val="001A08E2"/>
    <w:rsid w:val="001A1434"/>
    <w:rsid w:val="001A1A75"/>
    <w:rsid w:val="001A236D"/>
    <w:rsid w:val="001A25FA"/>
    <w:rsid w:val="001A3F6B"/>
    <w:rsid w:val="001A4080"/>
    <w:rsid w:val="001A440D"/>
    <w:rsid w:val="001A4AAC"/>
    <w:rsid w:val="001A520D"/>
    <w:rsid w:val="001A5778"/>
    <w:rsid w:val="001A5E72"/>
    <w:rsid w:val="001A65E2"/>
    <w:rsid w:val="001A6E62"/>
    <w:rsid w:val="001A75E4"/>
    <w:rsid w:val="001A7896"/>
    <w:rsid w:val="001A7E9A"/>
    <w:rsid w:val="001B0F41"/>
    <w:rsid w:val="001B1159"/>
    <w:rsid w:val="001B1E17"/>
    <w:rsid w:val="001B228E"/>
    <w:rsid w:val="001B2AEC"/>
    <w:rsid w:val="001B4114"/>
    <w:rsid w:val="001B4384"/>
    <w:rsid w:val="001B49B7"/>
    <w:rsid w:val="001B4CC8"/>
    <w:rsid w:val="001B4E19"/>
    <w:rsid w:val="001B517F"/>
    <w:rsid w:val="001B5FFA"/>
    <w:rsid w:val="001B6ABF"/>
    <w:rsid w:val="001B6EEE"/>
    <w:rsid w:val="001B6F6D"/>
    <w:rsid w:val="001B77F7"/>
    <w:rsid w:val="001B7910"/>
    <w:rsid w:val="001B79C3"/>
    <w:rsid w:val="001B7CAF"/>
    <w:rsid w:val="001C0F44"/>
    <w:rsid w:val="001C141E"/>
    <w:rsid w:val="001C25AD"/>
    <w:rsid w:val="001C264D"/>
    <w:rsid w:val="001C27A3"/>
    <w:rsid w:val="001C35B1"/>
    <w:rsid w:val="001C367D"/>
    <w:rsid w:val="001C4851"/>
    <w:rsid w:val="001C4A63"/>
    <w:rsid w:val="001C4D73"/>
    <w:rsid w:val="001C5295"/>
    <w:rsid w:val="001C577E"/>
    <w:rsid w:val="001C6387"/>
    <w:rsid w:val="001C671D"/>
    <w:rsid w:val="001D02E6"/>
    <w:rsid w:val="001D148B"/>
    <w:rsid w:val="001D2BC5"/>
    <w:rsid w:val="001D32AB"/>
    <w:rsid w:val="001D395F"/>
    <w:rsid w:val="001D3B66"/>
    <w:rsid w:val="001D640A"/>
    <w:rsid w:val="001D6A8C"/>
    <w:rsid w:val="001D6BDB"/>
    <w:rsid w:val="001D6BFF"/>
    <w:rsid w:val="001D702D"/>
    <w:rsid w:val="001D74B7"/>
    <w:rsid w:val="001D7BC7"/>
    <w:rsid w:val="001E0066"/>
    <w:rsid w:val="001E09FA"/>
    <w:rsid w:val="001E0E35"/>
    <w:rsid w:val="001E1E9E"/>
    <w:rsid w:val="001E25D4"/>
    <w:rsid w:val="001E337F"/>
    <w:rsid w:val="001E33E0"/>
    <w:rsid w:val="001E41B2"/>
    <w:rsid w:val="001E4E97"/>
    <w:rsid w:val="001E4EAA"/>
    <w:rsid w:val="001E4F35"/>
    <w:rsid w:val="001E519D"/>
    <w:rsid w:val="001E57A0"/>
    <w:rsid w:val="001E5949"/>
    <w:rsid w:val="001E5ABC"/>
    <w:rsid w:val="001E635C"/>
    <w:rsid w:val="001E7799"/>
    <w:rsid w:val="001F00BC"/>
    <w:rsid w:val="001F014A"/>
    <w:rsid w:val="001F04F8"/>
    <w:rsid w:val="001F0786"/>
    <w:rsid w:val="001F0966"/>
    <w:rsid w:val="001F1136"/>
    <w:rsid w:val="001F1534"/>
    <w:rsid w:val="001F18BC"/>
    <w:rsid w:val="001F3F6B"/>
    <w:rsid w:val="001F4263"/>
    <w:rsid w:val="001F4463"/>
    <w:rsid w:val="001F473A"/>
    <w:rsid w:val="001F4981"/>
    <w:rsid w:val="001F584F"/>
    <w:rsid w:val="001F67C2"/>
    <w:rsid w:val="001F6ACE"/>
    <w:rsid w:val="001F761F"/>
    <w:rsid w:val="002008BC"/>
    <w:rsid w:val="002017B1"/>
    <w:rsid w:val="00202653"/>
    <w:rsid w:val="00202772"/>
    <w:rsid w:val="00202B2B"/>
    <w:rsid w:val="002030D5"/>
    <w:rsid w:val="00203540"/>
    <w:rsid w:val="002044E6"/>
    <w:rsid w:val="00204835"/>
    <w:rsid w:val="0020484B"/>
    <w:rsid w:val="00205A3F"/>
    <w:rsid w:val="0020685E"/>
    <w:rsid w:val="00206D70"/>
    <w:rsid w:val="00207A22"/>
    <w:rsid w:val="00207C08"/>
    <w:rsid w:val="00210114"/>
    <w:rsid w:val="00211BC8"/>
    <w:rsid w:val="00212BB8"/>
    <w:rsid w:val="00212D99"/>
    <w:rsid w:val="00212E71"/>
    <w:rsid w:val="0021369B"/>
    <w:rsid w:val="00213906"/>
    <w:rsid w:val="0021507C"/>
    <w:rsid w:val="0021536A"/>
    <w:rsid w:val="00215A4D"/>
    <w:rsid w:val="00215AE9"/>
    <w:rsid w:val="00215B86"/>
    <w:rsid w:val="00215F33"/>
    <w:rsid w:val="0021612B"/>
    <w:rsid w:val="00216427"/>
    <w:rsid w:val="00216599"/>
    <w:rsid w:val="00217432"/>
    <w:rsid w:val="00217B2D"/>
    <w:rsid w:val="002203F9"/>
    <w:rsid w:val="0022083A"/>
    <w:rsid w:val="0022152D"/>
    <w:rsid w:val="00221AA6"/>
    <w:rsid w:val="00221D07"/>
    <w:rsid w:val="0022235E"/>
    <w:rsid w:val="00223827"/>
    <w:rsid w:val="002238E9"/>
    <w:rsid w:val="00223973"/>
    <w:rsid w:val="0022414C"/>
    <w:rsid w:val="0022475D"/>
    <w:rsid w:val="00224B4A"/>
    <w:rsid w:val="00224ED4"/>
    <w:rsid w:val="00224F6B"/>
    <w:rsid w:val="00225574"/>
    <w:rsid w:val="002257EE"/>
    <w:rsid w:val="00225C10"/>
    <w:rsid w:val="00225E46"/>
    <w:rsid w:val="002263D9"/>
    <w:rsid w:val="002267E8"/>
    <w:rsid w:val="00226B22"/>
    <w:rsid w:val="00226D78"/>
    <w:rsid w:val="00226EC0"/>
    <w:rsid w:val="0022739D"/>
    <w:rsid w:val="00227CDD"/>
    <w:rsid w:val="00227E4A"/>
    <w:rsid w:val="0023016A"/>
    <w:rsid w:val="002306B5"/>
    <w:rsid w:val="002321D5"/>
    <w:rsid w:val="00232B92"/>
    <w:rsid w:val="0023328E"/>
    <w:rsid w:val="002332B1"/>
    <w:rsid w:val="00233F9C"/>
    <w:rsid w:val="002347A9"/>
    <w:rsid w:val="00234EF1"/>
    <w:rsid w:val="002354A6"/>
    <w:rsid w:val="002364B3"/>
    <w:rsid w:val="002365CC"/>
    <w:rsid w:val="002367AA"/>
    <w:rsid w:val="002368BD"/>
    <w:rsid w:val="00236A66"/>
    <w:rsid w:val="0023795E"/>
    <w:rsid w:val="0024099E"/>
    <w:rsid w:val="00241088"/>
    <w:rsid w:val="00241278"/>
    <w:rsid w:val="00241CDB"/>
    <w:rsid w:val="0024208A"/>
    <w:rsid w:val="002424D4"/>
    <w:rsid w:val="002444E2"/>
    <w:rsid w:val="0024496B"/>
    <w:rsid w:val="0024582E"/>
    <w:rsid w:val="00245A24"/>
    <w:rsid w:val="00245C36"/>
    <w:rsid w:val="00245C56"/>
    <w:rsid w:val="00245DB2"/>
    <w:rsid w:val="00246275"/>
    <w:rsid w:val="00246402"/>
    <w:rsid w:val="00246549"/>
    <w:rsid w:val="002465DC"/>
    <w:rsid w:val="00246871"/>
    <w:rsid w:val="00246FD0"/>
    <w:rsid w:val="00247081"/>
    <w:rsid w:val="0024721E"/>
    <w:rsid w:val="00250B1D"/>
    <w:rsid w:val="00250CCA"/>
    <w:rsid w:val="00250D13"/>
    <w:rsid w:val="0025180A"/>
    <w:rsid w:val="00251DAF"/>
    <w:rsid w:val="002527AC"/>
    <w:rsid w:val="002530E6"/>
    <w:rsid w:val="002538FB"/>
    <w:rsid w:val="002545F2"/>
    <w:rsid w:val="002547EF"/>
    <w:rsid w:val="00254E7D"/>
    <w:rsid w:val="0025587F"/>
    <w:rsid w:val="00255B52"/>
    <w:rsid w:val="002560D8"/>
    <w:rsid w:val="00256327"/>
    <w:rsid w:val="002563E6"/>
    <w:rsid w:val="0025648A"/>
    <w:rsid w:val="0025681B"/>
    <w:rsid w:val="002569B0"/>
    <w:rsid w:val="00256D65"/>
    <w:rsid w:val="00257E3B"/>
    <w:rsid w:val="0026011B"/>
    <w:rsid w:val="002606B7"/>
    <w:rsid w:val="00260879"/>
    <w:rsid w:val="00261933"/>
    <w:rsid w:val="002619B7"/>
    <w:rsid w:val="00261A84"/>
    <w:rsid w:val="002620F2"/>
    <w:rsid w:val="00262477"/>
    <w:rsid w:val="002630AD"/>
    <w:rsid w:val="00263CF8"/>
    <w:rsid w:val="00263E3F"/>
    <w:rsid w:val="002643BC"/>
    <w:rsid w:val="00264AFD"/>
    <w:rsid w:val="00265F40"/>
    <w:rsid w:val="002672B1"/>
    <w:rsid w:val="00267442"/>
    <w:rsid w:val="0027036D"/>
    <w:rsid w:val="0027129C"/>
    <w:rsid w:val="0027179E"/>
    <w:rsid w:val="00271F00"/>
    <w:rsid w:val="00273315"/>
    <w:rsid w:val="00273A80"/>
    <w:rsid w:val="00274F93"/>
    <w:rsid w:val="00275E05"/>
    <w:rsid w:val="00275F3E"/>
    <w:rsid w:val="00277801"/>
    <w:rsid w:val="00280743"/>
    <w:rsid w:val="0028187A"/>
    <w:rsid w:val="00281BD4"/>
    <w:rsid w:val="00281DA3"/>
    <w:rsid w:val="0028253F"/>
    <w:rsid w:val="002825B3"/>
    <w:rsid w:val="00282D8E"/>
    <w:rsid w:val="00283EE6"/>
    <w:rsid w:val="0028409D"/>
    <w:rsid w:val="00284487"/>
    <w:rsid w:val="00284BE9"/>
    <w:rsid w:val="00285EE3"/>
    <w:rsid w:val="00286443"/>
    <w:rsid w:val="00286BCE"/>
    <w:rsid w:val="0028751B"/>
    <w:rsid w:val="00287528"/>
    <w:rsid w:val="00287C00"/>
    <w:rsid w:val="00290304"/>
    <w:rsid w:val="00290CFC"/>
    <w:rsid w:val="00290FDD"/>
    <w:rsid w:val="002915CE"/>
    <w:rsid w:val="002915DC"/>
    <w:rsid w:val="002919DC"/>
    <w:rsid w:val="00291EF9"/>
    <w:rsid w:val="0029204E"/>
    <w:rsid w:val="0029205E"/>
    <w:rsid w:val="002928B8"/>
    <w:rsid w:val="002931B4"/>
    <w:rsid w:val="00293605"/>
    <w:rsid w:val="002937B6"/>
    <w:rsid w:val="0029442B"/>
    <w:rsid w:val="00295046"/>
    <w:rsid w:val="002950A7"/>
    <w:rsid w:val="0029631C"/>
    <w:rsid w:val="00297406"/>
    <w:rsid w:val="002A0194"/>
    <w:rsid w:val="002A01E4"/>
    <w:rsid w:val="002A024B"/>
    <w:rsid w:val="002A03CA"/>
    <w:rsid w:val="002A042D"/>
    <w:rsid w:val="002A0B64"/>
    <w:rsid w:val="002A10C7"/>
    <w:rsid w:val="002A1577"/>
    <w:rsid w:val="002A16F7"/>
    <w:rsid w:val="002A1913"/>
    <w:rsid w:val="002A1E9D"/>
    <w:rsid w:val="002A2109"/>
    <w:rsid w:val="002A31D3"/>
    <w:rsid w:val="002A32E6"/>
    <w:rsid w:val="002A3314"/>
    <w:rsid w:val="002A41CE"/>
    <w:rsid w:val="002A45AE"/>
    <w:rsid w:val="002A4932"/>
    <w:rsid w:val="002A5456"/>
    <w:rsid w:val="002A567D"/>
    <w:rsid w:val="002A56EE"/>
    <w:rsid w:val="002A5F8B"/>
    <w:rsid w:val="002A6280"/>
    <w:rsid w:val="002A65E1"/>
    <w:rsid w:val="002A7138"/>
    <w:rsid w:val="002A7F6C"/>
    <w:rsid w:val="002A7F98"/>
    <w:rsid w:val="002B02B1"/>
    <w:rsid w:val="002B0EA6"/>
    <w:rsid w:val="002B23F1"/>
    <w:rsid w:val="002B240F"/>
    <w:rsid w:val="002B391D"/>
    <w:rsid w:val="002B3970"/>
    <w:rsid w:val="002B39A6"/>
    <w:rsid w:val="002B3A58"/>
    <w:rsid w:val="002B4089"/>
    <w:rsid w:val="002B582E"/>
    <w:rsid w:val="002B61A1"/>
    <w:rsid w:val="002B656B"/>
    <w:rsid w:val="002B7438"/>
    <w:rsid w:val="002B767F"/>
    <w:rsid w:val="002B7DEA"/>
    <w:rsid w:val="002C062C"/>
    <w:rsid w:val="002C0BDF"/>
    <w:rsid w:val="002C184E"/>
    <w:rsid w:val="002C2024"/>
    <w:rsid w:val="002C2A97"/>
    <w:rsid w:val="002C348C"/>
    <w:rsid w:val="002C3727"/>
    <w:rsid w:val="002C4067"/>
    <w:rsid w:val="002C4445"/>
    <w:rsid w:val="002C53D7"/>
    <w:rsid w:val="002C5678"/>
    <w:rsid w:val="002C5868"/>
    <w:rsid w:val="002C5989"/>
    <w:rsid w:val="002C5A96"/>
    <w:rsid w:val="002C5E47"/>
    <w:rsid w:val="002C6B3A"/>
    <w:rsid w:val="002C722E"/>
    <w:rsid w:val="002C7984"/>
    <w:rsid w:val="002D01F8"/>
    <w:rsid w:val="002D08DA"/>
    <w:rsid w:val="002D0D97"/>
    <w:rsid w:val="002D1102"/>
    <w:rsid w:val="002D17C7"/>
    <w:rsid w:val="002D1FFD"/>
    <w:rsid w:val="002D29A2"/>
    <w:rsid w:val="002D2F04"/>
    <w:rsid w:val="002D3618"/>
    <w:rsid w:val="002D42BE"/>
    <w:rsid w:val="002D47A8"/>
    <w:rsid w:val="002D4E94"/>
    <w:rsid w:val="002D6411"/>
    <w:rsid w:val="002D6809"/>
    <w:rsid w:val="002D6857"/>
    <w:rsid w:val="002E01FD"/>
    <w:rsid w:val="002E18AB"/>
    <w:rsid w:val="002E1CE2"/>
    <w:rsid w:val="002E4E02"/>
    <w:rsid w:val="002E507F"/>
    <w:rsid w:val="002E5512"/>
    <w:rsid w:val="002E575D"/>
    <w:rsid w:val="002E5845"/>
    <w:rsid w:val="002E6F6D"/>
    <w:rsid w:val="002E7541"/>
    <w:rsid w:val="002E758A"/>
    <w:rsid w:val="002E763E"/>
    <w:rsid w:val="002E7863"/>
    <w:rsid w:val="002F0C33"/>
    <w:rsid w:val="002F0CE9"/>
    <w:rsid w:val="002F1609"/>
    <w:rsid w:val="002F19C7"/>
    <w:rsid w:val="002F1C00"/>
    <w:rsid w:val="002F1F16"/>
    <w:rsid w:val="002F2188"/>
    <w:rsid w:val="002F223E"/>
    <w:rsid w:val="002F2727"/>
    <w:rsid w:val="002F3300"/>
    <w:rsid w:val="002F3830"/>
    <w:rsid w:val="002F4C91"/>
    <w:rsid w:val="002F5830"/>
    <w:rsid w:val="002F595F"/>
    <w:rsid w:val="002F5DFB"/>
    <w:rsid w:val="002F6170"/>
    <w:rsid w:val="002F6488"/>
    <w:rsid w:val="002F79A7"/>
    <w:rsid w:val="0030004B"/>
    <w:rsid w:val="003000B0"/>
    <w:rsid w:val="0030199C"/>
    <w:rsid w:val="00301A43"/>
    <w:rsid w:val="00301F7C"/>
    <w:rsid w:val="00302211"/>
    <w:rsid w:val="00302558"/>
    <w:rsid w:val="003028F2"/>
    <w:rsid w:val="0030291F"/>
    <w:rsid w:val="00302A34"/>
    <w:rsid w:val="003039DD"/>
    <w:rsid w:val="00303AEB"/>
    <w:rsid w:val="0030448A"/>
    <w:rsid w:val="0030559A"/>
    <w:rsid w:val="00305E8C"/>
    <w:rsid w:val="00306747"/>
    <w:rsid w:val="0030796D"/>
    <w:rsid w:val="00307F1C"/>
    <w:rsid w:val="00310AAD"/>
    <w:rsid w:val="003117A9"/>
    <w:rsid w:val="00311BFB"/>
    <w:rsid w:val="00311D6C"/>
    <w:rsid w:val="00311FA5"/>
    <w:rsid w:val="00312BB1"/>
    <w:rsid w:val="00312F7E"/>
    <w:rsid w:val="00313829"/>
    <w:rsid w:val="00313A8B"/>
    <w:rsid w:val="00313AF1"/>
    <w:rsid w:val="00313B8B"/>
    <w:rsid w:val="0031480F"/>
    <w:rsid w:val="00314B0F"/>
    <w:rsid w:val="00315425"/>
    <w:rsid w:val="00315A62"/>
    <w:rsid w:val="00315F5C"/>
    <w:rsid w:val="003161CD"/>
    <w:rsid w:val="003162D1"/>
    <w:rsid w:val="00316532"/>
    <w:rsid w:val="0031654B"/>
    <w:rsid w:val="0031669D"/>
    <w:rsid w:val="00316F03"/>
    <w:rsid w:val="00317041"/>
    <w:rsid w:val="00320839"/>
    <w:rsid w:val="0032094E"/>
    <w:rsid w:val="003213F9"/>
    <w:rsid w:val="00321EA5"/>
    <w:rsid w:val="00322E72"/>
    <w:rsid w:val="00322F4C"/>
    <w:rsid w:val="00323B1B"/>
    <w:rsid w:val="00323DBF"/>
    <w:rsid w:val="003242F1"/>
    <w:rsid w:val="003244F2"/>
    <w:rsid w:val="00324BB5"/>
    <w:rsid w:val="00324F69"/>
    <w:rsid w:val="00326484"/>
    <w:rsid w:val="00326833"/>
    <w:rsid w:val="00326C6A"/>
    <w:rsid w:val="00326D85"/>
    <w:rsid w:val="003272AD"/>
    <w:rsid w:val="00327FCA"/>
    <w:rsid w:val="003300E0"/>
    <w:rsid w:val="00330970"/>
    <w:rsid w:val="003309A8"/>
    <w:rsid w:val="00330BD0"/>
    <w:rsid w:val="00330F36"/>
    <w:rsid w:val="00331528"/>
    <w:rsid w:val="003315C1"/>
    <w:rsid w:val="00331A22"/>
    <w:rsid w:val="00331CE4"/>
    <w:rsid w:val="00331DAB"/>
    <w:rsid w:val="00332480"/>
    <w:rsid w:val="00332B12"/>
    <w:rsid w:val="00332BF9"/>
    <w:rsid w:val="0033558E"/>
    <w:rsid w:val="003362BA"/>
    <w:rsid w:val="00337083"/>
    <w:rsid w:val="00337B27"/>
    <w:rsid w:val="00337F59"/>
    <w:rsid w:val="00340060"/>
    <w:rsid w:val="003400D0"/>
    <w:rsid w:val="00340684"/>
    <w:rsid w:val="00340FC4"/>
    <w:rsid w:val="00341304"/>
    <w:rsid w:val="003416ED"/>
    <w:rsid w:val="00341FFB"/>
    <w:rsid w:val="00343F25"/>
    <w:rsid w:val="00344009"/>
    <w:rsid w:val="003443FC"/>
    <w:rsid w:val="003449B0"/>
    <w:rsid w:val="00344D0D"/>
    <w:rsid w:val="00344D57"/>
    <w:rsid w:val="0034510F"/>
    <w:rsid w:val="00347C4B"/>
    <w:rsid w:val="0035055B"/>
    <w:rsid w:val="00350784"/>
    <w:rsid w:val="00351AB4"/>
    <w:rsid w:val="00351B07"/>
    <w:rsid w:val="00351DDD"/>
    <w:rsid w:val="0035253C"/>
    <w:rsid w:val="00352CF2"/>
    <w:rsid w:val="00352F46"/>
    <w:rsid w:val="00353247"/>
    <w:rsid w:val="00353416"/>
    <w:rsid w:val="00353485"/>
    <w:rsid w:val="003534DF"/>
    <w:rsid w:val="00355616"/>
    <w:rsid w:val="00355A80"/>
    <w:rsid w:val="00355AE8"/>
    <w:rsid w:val="00356694"/>
    <w:rsid w:val="003567F1"/>
    <w:rsid w:val="003568EE"/>
    <w:rsid w:val="00356C19"/>
    <w:rsid w:val="00356F31"/>
    <w:rsid w:val="003579AA"/>
    <w:rsid w:val="0036057F"/>
    <w:rsid w:val="00361782"/>
    <w:rsid w:val="00362443"/>
    <w:rsid w:val="00362FE0"/>
    <w:rsid w:val="003635E2"/>
    <w:rsid w:val="00363E09"/>
    <w:rsid w:val="00364841"/>
    <w:rsid w:val="00364B1B"/>
    <w:rsid w:val="00365428"/>
    <w:rsid w:val="00365F83"/>
    <w:rsid w:val="00366396"/>
    <w:rsid w:val="00366B3B"/>
    <w:rsid w:val="00366DA3"/>
    <w:rsid w:val="0036718A"/>
    <w:rsid w:val="00367789"/>
    <w:rsid w:val="00367C41"/>
    <w:rsid w:val="00371B29"/>
    <w:rsid w:val="00371DD2"/>
    <w:rsid w:val="00372317"/>
    <w:rsid w:val="003726CF"/>
    <w:rsid w:val="00372CA7"/>
    <w:rsid w:val="00373E18"/>
    <w:rsid w:val="003746D3"/>
    <w:rsid w:val="00375169"/>
    <w:rsid w:val="00375F42"/>
    <w:rsid w:val="00376487"/>
    <w:rsid w:val="00376569"/>
    <w:rsid w:val="0037656B"/>
    <w:rsid w:val="00377BFE"/>
    <w:rsid w:val="00381285"/>
    <w:rsid w:val="00381AFF"/>
    <w:rsid w:val="00381CA4"/>
    <w:rsid w:val="00381CA5"/>
    <w:rsid w:val="00381E3D"/>
    <w:rsid w:val="00382317"/>
    <w:rsid w:val="00382486"/>
    <w:rsid w:val="00382CED"/>
    <w:rsid w:val="00382D15"/>
    <w:rsid w:val="00382FEB"/>
    <w:rsid w:val="00383168"/>
    <w:rsid w:val="00383306"/>
    <w:rsid w:val="003834AD"/>
    <w:rsid w:val="00383F28"/>
    <w:rsid w:val="0038438B"/>
    <w:rsid w:val="0038455B"/>
    <w:rsid w:val="00384A04"/>
    <w:rsid w:val="00384B4E"/>
    <w:rsid w:val="00385231"/>
    <w:rsid w:val="00385923"/>
    <w:rsid w:val="00385B03"/>
    <w:rsid w:val="003865FA"/>
    <w:rsid w:val="00386ACB"/>
    <w:rsid w:val="00386BF9"/>
    <w:rsid w:val="0038753D"/>
    <w:rsid w:val="00387F2B"/>
    <w:rsid w:val="00390323"/>
    <w:rsid w:val="00390F85"/>
    <w:rsid w:val="003915FB"/>
    <w:rsid w:val="00391769"/>
    <w:rsid w:val="00391917"/>
    <w:rsid w:val="00391F7F"/>
    <w:rsid w:val="003921A0"/>
    <w:rsid w:val="00392731"/>
    <w:rsid w:val="00392994"/>
    <w:rsid w:val="0039359A"/>
    <w:rsid w:val="0039437D"/>
    <w:rsid w:val="00394C07"/>
    <w:rsid w:val="003953E1"/>
    <w:rsid w:val="003956B3"/>
    <w:rsid w:val="00395749"/>
    <w:rsid w:val="00395EB4"/>
    <w:rsid w:val="003963CC"/>
    <w:rsid w:val="00396447"/>
    <w:rsid w:val="0039656C"/>
    <w:rsid w:val="00396572"/>
    <w:rsid w:val="003966BC"/>
    <w:rsid w:val="00396D27"/>
    <w:rsid w:val="00396E44"/>
    <w:rsid w:val="003971EC"/>
    <w:rsid w:val="00397549"/>
    <w:rsid w:val="00397C33"/>
    <w:rsid w:val="003A00E6"/>
    <w:rsid w:val="003A0A53"/>
    <w:rsid w:val="003A0E6F"/>
    <w:rsid w:val="003A1075"/>
    <w:rsid w:val="003A2806"/>
    <w:rsid w:val="003A285A"/>
    <w:rsid w:val="003A2948"/>
    <w:rsid w:val="003A29CA"/>
    <w:rsid w:val="003A2C5E"/>
    <w:rsid w:val="003A368F"/>
    <w:rsid w:val="003A412B"/>
    <w:rsid w:val="003A45CB"/>
    <w:rsid w:val="003A48EA"/>
    <w:rsid w:val="003A50A9"/>
    <w:rsid w:val="003A5D4F"/>
    <w:rsid w:val="003A68BE"/>
    <w:rsid w:val="003A72CA"/>
    <w:rsid w:val="003A764A"/>
    <w:rsid w:val="003A76C5"/>
    <w:rsid w:val="003A7BB8"/>
    <w:rsid w:val="003B01F1"/>
    <w:rsid w:val="003B0715"/>
    <w:rsid w:val="003B082C"/>
    <w:rsid w:val="003B0C80"/>
    <w:rsid w:val="003B0D63"/>
    <w:rsid w:val="003B1080"/>
    <w:rsid w:val="003B14A6"/>
    <w:rsid w:val="003B1805"/>
    <w:rsid w:val="003B1AF5"/>
    <w:rsid w:val="003B2C8E"/>
    <w:rsid w:val="003B2E6F"/>
    <w:rsid w:val="003B3C9D"/>
    <w:rsid w:val="003B4A52"/>
    <w:rsid w:val="003B5233"/>
    <w:rsid w:val="003B54BD"/>
    <w:rsid w:val="003B6A32"/>
    <w:rsid w:val="003B7007"/>
    <w:rsid w:val="003B7185"/>
    <w:rsid w:val="003B7235"/>
    <w:rsid w:val="003B78E0"/>
    <w:rsid w:val="003B7AE7"/>
    <w:rsid w:val="003B7B95"/>
    <w:rsid w:val="003C01B6"/>
    <w:rsid w:val="003C09D2"/>
    <w:rsid w:val="003C1558"/>
    <w:rsid w:val="003C2188"/>
    <w:rsid w:val="003C3654"/>
    <w:rsid w:val="003C3905"/>
    <w:rsid w:val="003C395D"/>
    <w:rsid w:val="003C3A67"/>
    <w:rsid w:val="003C3AE3"/>
    <w:rsid w:val="003C3C40"/>
    <w:rsid w:val="003C4115"/>
    <w:rsid w:val="003C48A0"/>
    <w:rsid w:val="003C4969"/>
    <w:rsid w:val="003C4BD8"/>
    <w:rsid w:val="003C578B"/>
    <w:rsid w:val="003C5C46"/>
    <w:rsid w:val="003C5CEB"/>
    <w:rsid w:val="003C5EF6"/>
    <w:rsid w:val="003C60AC"/>
    <w:rsid w:val="003C641F"/>
    <w:rsid w:val="003C6A8E"/>
    <w:rsid w:val="003C6FFB"/>
    <w:rsid w:val="003C712D"/>
    <w:rsid w:val="003C794D"/>
    <w:rsid w:val="003C7E48"/>
    <w:rsid w:val="003D0053"/>
    <w:rsid w:val="003D0D27"/>
    <w:rsid w:val="003D0DF9"/>
    <w:rsid w:val="003D1682"/>
    <w:rsid w:val="003D20CB"/>
    <w:rsid w:val="003D2328"/>
    <w:rsid w:val="003D299F"/>
    <w:rsid w:val="003D2E4C"/>
    <w:rsid w:val="003D3574"/>
    <w:rsid w:val="003D416B"/>
    <w:rsid w:val="003D41C5"/>
    <w:rsid w:val="003D432E"/>
    <w:rsid w:val="003D4401"/>
    <w:rsid w:val="003D44B3"/>
    <w:rsid w:val="003D45E9"/>
    <w:rsid w:val="003D61E8"/>
    <w:rsid w:val="003D65E1"/>
    <w:rsid w:val="003D6663"/>
    <w:rsid w:val="003D6753"/>
    <w:rsid w:val="003D6764"/>
    <w:rsid w:val="003D67C8"/>
    <w:rsid w:val="003D77A6"/>
    <w:rsid w:val="003E0212"/>
    <w:rsid w:val="003E0290"/>
    <w:rsid w:val="003E1B67"/>
    <w:rsid w:val="003E21E3"/>
    <w:rsid w:val="003E23EA"/>
    <w:rsid w:val="003E2547"/>
    <w:rsid w:val="003E2FD6"/>
    <w:rsid w:val="003E31D4"/>
    <w:rsid w:val="003E3306"/>
    <w:rsid w:val="003E41D5"/>
    <w:rsid w:val="003E46BA"/>
    <w:rsid w:val="003E584B"/>
    <w:rsid w:val="003E587A"/>
    <w:rsid w:val="003E63B6"/>
    <w:rsid w:val="003E77E5"/>
    <w:rsid w:val="003E793C"/>
    <w:rsid w:val="003E7C4A"/>
    <w:rsid w:val="003E7D22"/>
    <w:rsid w:val="003F0087"/>
    <w:rsid w:val="003F0B8D"/>
    <w:rsid w:val="003F0B9E"/>
    <w:rsid w:val="003F2851"/>
    <w:rsid w:val="003F2C31"/>
    <w:rsid w:val="003F333A"/>
    <w:rsid w:val="003F4EAA"/>
    <w:rsid w:val="003F52BA"/>
    <w:rsid w:val="003F610D"/>
    <w:rsid w:val="003F7452"/>
    <w:rsid w:val="003F74C1"/>
    <w:rsid w:val="00400950"/>
    <w:rsid w:val="00400D34"/>
    <w:rsid w:val="004012B1"/>
    <w:rsid w:val="004014AC"/>
    <w:rsid w:val="0040154E"/>
    <w:rsid w:val="004022CA"/>
    <w:rsid w:val="00402715"/>
    <w:rsid w:val="0040279D"/>
    <w:rsid w:val="00402B9F"/>
    <w:rsid w:val="00403740"/>
    <w:rsid w:val="0040428E"/>
    <w:rsid w:val="00404476"/>
    <w:rsid w:val="004045B7"/>
    <w:rsid w:val="00405655"/>
    <w:rsid w:val="0040569C"/>
    <w:rsid w:val="00405B1A"/>
    <w:rsid w:val="004062F5"/>
    <w:rsid w:val="00406A35"/>
    <w:rsid w:val="00407515"/>
    <w:rsid w:val="004078D3"/>
    <w:rsid w:val="00407A16"/>
    <w:rsid w:val="00407C6B"/>
    <w:rsid w:val="004102B8"/>
    <w:rsid w:val="0041039E"/>
    <w:rsid w:val="004105CF"/>
    <w:rsid w:val="004109D0"/>
    <w:rsid w:val="00410C76"/>
    <w:rsid w:val="00411907"/>
    <w:rsid w:val="00411B3F"/>
    <w:rsid w:val="00411BE6"/>
    <w:rsid w:val="00413127"/>
    <w:rsid w:val="004131F8"/>
    <w:rsid w:val="004135B7"/>
    <w:rsid w:val="00413993"/>
    <w:rsid w:val="00413AEA"/>
    <w:rsid w:val="00413CA8"/>
    <w:rsid w:val="00415655"/>
    <w:rsid w:val="00415AB1"/>
    <w:rsid w:val="0041660E"/>
    <w:rsid w:val="0041721F"/>
    <w:rsid w:val="00417C9E"/>
    <w:rsid w:val="00417EE3"/>
    <w:rsid w:val="00417F44"/>
    <w:rsid w:val="004207EB"/>
    <w:rsid w:val="0042092A"/>
    <w:rsid w:val="00420D44"/>
    <w:rsid w:val="00420F0B"/>
    <w:rsid w:val="0042208E"/>
    <w:rsid w:val="004221C8"/>
    <w:rsid w:val="00422701"/>
    <w:rsid w:val="00422905"/>
    <w:rsid w:val="0042380A"/>
    <w:rsid w:val="004248A3"/>
    <w:rsid w:val="00424C86"/>
    <w:rsid w:val="0042517E"/>
    <w:rsid w:val="004252AD"/>
    <w:rsid w:val="00425C6A"/>
    <w:rsid w:val="00425CEE"/>
    <w:rsid w:val="0042613E"/>
    <w:rsid w:val="00426602"/>
    <w:rsid w:val="00426B5B"/>
    <w:rsid w:val="00427222"/>
    <w:rsid w:val="0042760E"/>
    <w:rsid w:val="00427B0A"/>
    <w:rsid w:val="00430B0E"/>
    <w:rsid w:val="004310E9"/>
    <w:rsid w:val="00431531"/>
    <w:rsid w:val="00432994"/>
    <w:rsid w:val="0043365E"/>
    <w:rsid w:val="004339CE"/>
    <w:rsid w:val="00434DA1"/>
    <w:rsid w:val="004357D3"/>
    <w:rsid w:val="0043582D"/>
    <w:rsid w:val="004360BC"/>
    <w:rsid w:val="00436AF4"/>
    <w:rsid w:val="00436CA6"/>
    <w:rsid w:val="00437276"/>
    <w:rsid w:val="00440642"/>
    <w:rsid w:val="00440A3D"/>
    <w:rsid w:val="00440DE4"/>
    <w:rsid w:val="00441143"/>
    <w:rsid w:val="00441F65"/>
    <w:rsid w:val="00442687"/>
    <w:rsid w:val="0044304C"/>
    <w:rsid w:val="004439CE"/>
    <w:rsid w:val="00443D09"/>
    <w:rsid w:val="00444012"/>
    <w:rsid w:val="0044410F"/>
    <w:rsid w:val="00444B2A"/>
    <w:rsid w:val="00444B90"/>
    <w:rsid w:val="00444BA8"/>
    <w:rsid w:val="00444CDE"/>
    <w:rsid w:val="00445707"/>
    <w:rsid w:val="00447049"/>
    <w:rsid w:val="00447366"/>
    <w:rsid w:val="00447555"/>
    <w:rsid w:val="00447C26"/>
    <w:rsid w:val="0045030B"/>
    <w:rsid w:val="00450714"/>
    <w:rsid w:val="004508EE"/>
    <w:rsid w:val="00450943"/>
    <w:rsid w:val="00451269"/>
    <w:rsid w:val="0045161B"/>
    <w:rsid w:val="00452A2E"/>
    <w:rsid w:val="00452EFA"/>
    <w:rsid w:val="0045301E"/>
    <w:rsid w:val="004539F6"/>
    <w:rsid w:val="00455714"/>
    <w:rsid w:val="0045587D"/>
    <w:rsid w:val="00455C87"/>
    <w:rsid w:val="0045616E"/>
    <w:rsid w:val="00456324"/>
    <w:rsid w:val="00456B54"/>
    <w:rsid w:val="00457AB3"/>
    <w:rsid w:val="00457AE8"/>
    <w:rsid w:val="00460A0B"/>
    <w:rsid w:val="00460B26"/>
    <w:rsid w:val="00460B30"/>
    <w:rsid w:val="00460C03"/>
    <w:rsid w:val="00460E99"/>
    <w:rsid w:val="004614A5"/>
    <w:rsid w:val="004619C4"/>
    <w:rsid w:val="004627D2"/>
    <w:rsid w:val="004627D5"/>
    <w:rsid w:val="00462988"/>
    <w:rsid w:val="00463B28"/>
    <w:rsid w:val="00464643"/>
    <w:rsid w:val="00465556"/>
    <w:rsid w:val="004656EA"/>
    <w:rsid w:val="00466444"/>
    <w:rsid w:val="00466831"/>
    <w:rsid w:val="00466C0E"/>
    <w:rsid w:val="00467B34"/>
    <w:rsid w:val="004709E3"/>
    <w:rsid w:val="00470B95"/>
    <w:rsid w:val="00471049"/>
    <w:rsid w:val="00471D9C"/>
    <w:rsid w:val="00471DA8"/>
    <w:rsid w:val="00472C25"/>
    <w:rsid w:val="004737DC"/>
    <w:rsid w:val="0047513E"/>
    <w:rsid w:val="00476776"/>
    <w:rsid w:val="0048012E"/>
    <w:rsid w:val="00480918"/>
    <w:rsid w:val="00481233"/>
    <w:rsid w:val="00481931"/>
    <w:rsid w:val="0048365B"/>
    <w:rsid w:val="00483FF2"/>
    <w:rsid w:val="0048470C"/>
    <w:rsid w:val="0048560D"/>
    <w:rsid w:val="0048587E"/>
    <w:rsid w:val="00485FDB"/>
    <w:rsid w:val="00486793"/>
    <w:rsid w:val="00486B9A"/>
    <w:rsid w:val="00487824"/>
    <w:rsid w:val="00487B1E"/>
    <w:rsid w:val="004910CD"/>
    <w:rsid w:val="00493553"/>
    <w:rsid w:val="004942E5"/>
    <w:rsid w:val="00494477"/>
    <w:rsid w:val="00494A4A"/>
    <w:rsid w:val="00495AC8"/>
    <w:rsid w:val="00495BC5"/>
    <w:rsid w:val="00495C8D"/>
    <w:rsid w:val="0049745B"/>
    <w:rsid w:val="004A0A48"/>
    <w:rsid w:val="004A1BF8"/>
    <w:rsid w:val="004A2037"/>
    <w:rsid w:val="004A203E"/>
    <w:rsid w:val="004A26DB"/>
    <w:rsid w:val="004A37EF"/>
    <w:rsid w:val="004A3890"/>
    <w:rsid w:val="004A3B2B"/>
    <w:rsid w:val="004A45B3"/>
    <w:rsid w:val="004A4823"/>
    <w:rsid w:val="004A5229"/>
    <w:rsid w:val="004A5824"/>
    <w:rsid w:val="004A6C69"/>
    <w:rsid w:val="004A6F25"/>
    <w:rsid w:val="004A7109"/>
    <w:rsid w:val="004A77A1"/>
    <w:rsid w:val="004B03BF"/>
    <w:rsid w:val="004B0C21"/>
    <w:rsid w:val="004B0FD0"/>
    <w:rsid w:val="004B0FE1"/>
    <w:rsid w:val="004B167F"/>
    <w:rsid w:val="004B1ADC"/>
    <w:rsid w:val="004B1F8F"/>
    <w:rsid w:val="004B23B4"/>
    <w:rsid w:val="004B2536"/>
    <w:rsid w:val="004B2CE6"/>
    <w:rsid w:val="004B3912"/>
    <w:rsid w:val="004B39FE"/>
    <w:rsid w:val="004B3B0C"/>
    <w:rsid w:val="004B419D"/>
    <w:rsid w:val="004B4CF8"/>
    <w:rsid w:val="004B5795"/>
    <w:rsid w:val="004B5B65"/>
    <w:rsid w:val="004B6010"/>
    <w:rsid w:val="004B617B"/>
    <w:rsid w:val="004B628D"/>
    <w:rsid w:val="004B6541"/>
    <w:rsid w:val="004B67A0"/>
    <w:rsid w:val="004B7B10"/>
    <w:rsid w:val="004C04C8"/>
    <w:rsid w:val="004C15F1"/>
    <w:rsid w:val="004C18EA"/>
    <w:rsid w:val="004C1BBF"/>
    <w:rsid w:val="004C1D0C"/>
    <w:rsid w:val="004C2824"/>
    <w:rsid w:val="004C2CE7"/>
    <w:rsid w:val="004C3141"/>
    <w:rsid w:val="004C424B"/>
    <w:rsid w:val="004C5616"/>
    <w:rsid w:val="004C5AB6"/>
    <w:rsid w:val="004C5E68"/>
    <w:rsid w:val="004C6BB0"/>
    <w:rsid w:val="004C792C"/>
    <w:rsid w:val="004C7E85"/>
    <w:rsid w:val="004C7EBD"/>
    <w:rsid w:val="004D014D"/>
    <w:rsid w:val="004D1701"/>
    <w:rsid w:val="004D263D"/>
    <w:rsid w:val="004D2A91"/>
    <w:rsid w:val="004D325E"/>
    <w:rsid w:val="004D3461"/>
    <w:rsid w:val="004D41B6"/>
    <w:rsid w:val="004D4C9F"/>
    <w:rsid w:val="004D4D76"/>
    <w:rsid w:val="004D5780"/>
    <w:rsid w:val="004D5874"/>
    <w:rsid w:val="004D6B54"/>
    <w:rsid w:val="004D6E44"/>
    <w:rsid w:val="004E06CA"/>
    <w:rsid w:val="004E0B33"/>
    <w:rsid w:val="004E1F1D"/>
    <w:rsid w:val="004E3209"/>
    <w:rsid w:val="004E48DA"/>
    <w:rsid w:val="004E59CC"/>
    <w:rsid w:val="004E6B6F"/>
    <w:rsid w:val="004E70D2"/>
    <w:rsid w:val="004E74B0"/>
    <w:rsid w:val="004F117B"/>
    <w:rsid w:val="004F1324"/>
    <w:rsid w:val="004F13F2"/>
    <w:rsid w:val="004F1591"/>
    <w:rsid w:val="004F413C"/>
    <w:rsid w:val="004F4730"/>
    <w:rsid w:val="004F4F98"/>
    <w:rsid w:val="004F5053"/>
    <w:rsid w:val="004F53D4"/>
    <w:rsid w:val="004F5B81"/>
    <w:rsid w:val="004F642A"/>
    <w:rsid w:val="004F67A7"/>
    <w:rsid w:val="004F69F6"/>
    <w:rsid w:val="004F79AC"/>
    <w:rsid w:val="004F7A5E"/>
    <w:rsid w:val="005001A0"/>
    <w:rsid w:val="00500C73"/>
    <w:rsid w:val="0050130A"/>
    <w:rsid w:val="0050147F"/>
    <w:rsid w:val="005017CF"/>
    <w:rsid w:val="005021AA"/>
    <w:rsid w:val="00502AE8"/>
    <w:rsid w:val="00502BE4"/>
    <w:rsid w:val="00503698"/>
    <w:rsid w:val="00504013"/>
    <w:rsid w:val="00504259"/>
    <w:rsid w:val="005045BD"/>
    <w:rsid w:val="00504F0F"/>
    <w:rsid w:val="0050519C"/>
    <w:rsid w:val="0050524D"/>
    <w:rsid w:val="00505728"/>
    <w:rsid w:val="005059C0"/>
    <w:rsid w:val="005059E3"/>
    <w:rsid w:val="00505DC9"/>
    <w:rsid w:val="00507D25"/>
    <w:rsid w:val="005106B1"/>
    <w:rsid w:val="00511B83"/>
    <w:rsid w:val="00511D0B"/>
    <w:rsid w:val="00511E82"/>
    <w:rsid w:val="005127B7"/>
    <w:rsid w:val="00512A4A"/>
    <w:rsid w:val="00512CB7"/>
    <w:rsid w:val="00512E9F"/>
    <w:rsid w:val="00513233"/>
    <w:rsid w:val="00514163"/>
    <w:rsid w:val="00514D89"/>
    <w:rsid w:val="00515323"/>
    <w:rsid w:val="005158C7"/>
    <w:rsid w:val="00515FC8"/>
    <w:rsid w:val="00516ACF"/>
    <w:rsid w:val="00517143"/>
    <w:rsid w:val="00517728"/>
    <w:rsid w:val="005207B4"/>
    <w:rsid w:val="005207D8"/>
    <w:rsid w:val="00521A61"/>
    <w:rsid w:val="00522087"/>
    <w:rsid w:val="005227F4"/>
    <w:rsid w:val="00522E4F"/>
    <w:rsid w:val="00523ACD"/>
    <w:rsid w:val="00523BB4"/>
    <w:rsid w:val="00523F94"/>
    <w:rsid w:val="00524024"/>
    <w:rsid w:val="00525B79"/>
    <w:rsid w:val="00525F3C"/>
    <w:rsid w:val="00526765"/>
    <w:rsid w:val="00526D72"/>
    <w:rsid w:val="005270D1"/>
    <w:rsid w:val="00527239"/>
    <w:rsid w:val="00527D86"/>
    <w:rsid w:val="00531A3C"/>
    <w:rsid w:val="005328A6"/>
    <w:rsid w:val="005329D4"/>
    <w:rsid w:val="0053464E"/>
    <w:rsid w:val="005348A4"/>
    <w:rsid w:val="00535227"/>
    <w:rsid w:val="00535477"/>
    <w:rsid w:val="0053777E"/>
    <w:rsid w:val="00541B06"/>
    <w:rsid w:val="005422EC"/>
    <w:rsid w:val="0054272D"/>
    <w:rsid w:val="005427FE"/>
    <w:rsid w:val="00542ACE"/>
    <w:rsid w:val="005432A4"/>
    <w:rsid w:val="00543547"/>
    <w:rsid w:val="005435D0"/>
    <w:rsid w:val="0054367D"/>
    <w:rsid w:val="00543FCD"/>
    <w:rsid w:val="00543FF4"/>
    <w:rsid w:val="00544A32"/>
    <w:rsid w:val="00544CE8"/>
    <w:rsid w:val="00545305"/>
    <w:rsid w:val="00546907"/>
    <w:rsid w:val="00546B5C"/>
    <w:rsid w:val="0054731D"/>
    <w:rsid w:val="00547FE8"/>
    <w:rsid w:val="005501FD"/>
    <w:rsid w:val="005502DC"/>
    <w:rsid w:val="005503ED"/>
    <w:rsid w:val="00550566"/>
    <w:rsid w:val="00550A97"/>
    <w:rsid w:val="00550C4A"/>
    <w:rsid w:val="00552199"/>
    <w:rsid w:val="0055347B"/>
    <w:rsid w:val="005535D0"/>
    <w:rsid w:val="0055369F"/>
    <w:rsid w:val="00553C9A"/>
    <w:rsid w:val="00553D9E"/>
    <w:rsid w:val="00553F15"/>
    <w:rsid w:val="00554259"/>
    <w:rsid w:val="005542D0"/>
    <w:rsid w:val="00554B15"/>
    <w:rsid w:val="00555037"/>
    <w:rsid w:val="00555DC3"/>
    <w:rsid w:val="00556880"/>
    <w:rsid w:val="00556F9E"/>
    <w:rsid w:val="005570FF"/>
    <w:rsid w:val="005603D4"/>
    <w:rsid w:val="0056087E"/>
    <w:rsid w:val="00561E92"/>
    <w:rsid w:val="005624EE"/>
    <w:rsid w:val="0056253E"/>
    <w:rsid w:val="00562569"/>
    <w:rsid w:val="00562917"/>
    <w:rsid w:val="00562F01"/>
    <w:rsid w:val="00563052"/>
    <w:rsid w:val="0056318D"/>
    <w:rsid w:val="00563668"/>
    <w:rsid w:val="00564831"/>
    <w:rsid w:val="00564ABE"/>
    <w:rsid w:val="005650DD"/>
    <w:rsid w:val="005657A1"/>
    <w:rsid w:val="00565A9C"/>
    <w:rsid w:val="0056609F"/>
    <w:rsid w:val="00566682"/>
    <w:rsid w:val="005669F5"/>
    <w:rsid w:val="00566D92"/>
    <w:rsid w:val="005679F6"/>
    <w:rsid w:val="00567B00"/>
    <w:rsid w:val="00571681"/>
    <w:rsid w:val="005720E0"/>
    <w:rsid w:val="0057257B"/>
    <w:rsid w:val="00572E2E"/>
    <w:rsid w:val="00574CED"/>
    <w:rsid w:val="00574D5E"/>
    <w:rsid w:val="00574D83"/>
    <w:rsid w:val="00575C3B"/>
    <w:rsid w:val="0057615C"/>
    <w:rsid w:val="00577148"/>
    <w:rsid w:val="0058166E"/>
    <w:rsid w:val="00581D6B"/>
    <w:rsid w:val="005820D5"/>
    <w:rsid w:val="00582B87"/>
    <w:rsid w:val="00582FB8"/>
    <w:rsid w:val="0058473A"/>
    <w:rsid w:val="005853CC"/>
    <w:rsid w:val="00585514"/>
    <w:rsid w:val="00585EE9"/>
    <w:rsid w:val="00586228"/>
    <w:rsid w:val="00586AE1"/>
    <w:rsid w:val="00586AEE"/>
    <w:rsid w:val="005875E9"/>
    <w:rsid w:val="005902E5"/>
    <w:rsid w:val="00590A15"/>
    <w:rsid w:val="00590DC1"/>
    <w:rsid w:val="005914E3"/>
    <w:rsid w:val="005926E1"/>
    <w:rsid w:val="00592B67"/>
    <w:rsid w:val="0059400E"/>
    <w:rsid w:val="00594548"/>
    <w:rsid w:val="00594BDB"/>
    <w:rsid w:val="00594F79"/>
    <w:rsid w:val="00595D20"/>
    <w:rsid w:val="00596077"/>
    <w:rsid w:val="00596948"/>
    <w:rsid w:val="00596A37"/>
    <w:rsid w:val="00596AD7"/>
    <w:rsid w:val="005971D0"/>
    <w:rsid w:val="005972BB"/>
    <w:rsid w:val="005973B3"/>
    <w:rsid w:val="005975EF"/>
    <w:rsid w:val="0059780A"/>
    <w:rsid w:val="00597FFC"/>
    <w:rsid w:val="005A01AE"/>
    <w:rsid w:val="005A022F"/>
    <w:rsid w:val="005A1289"/>
    <w:rsid w:val="005A19E1"/>
    <w:rsid w:val="005A1A5D"/>
    <w:rsid w:val="005A1D97"/>
    <w:rsid w:val="005A2873"/>
    <w:rsid w:val="005A3A45"/>
    <w:rsid w:val="005A4216"/>
    <w:rsid w:val="005A42D2"/>
    <w:rsid w:val="005A4541"/>
    <w:rsid w:val="005A45B5"/>
    <w:rsid w:val="005A4E4C"/>
    <w:rsid w:val="005A526D"/>
    <w:rsid w:val="005A5823"/>
    <w:rsid w:val="005A58F3"/>
    <w:rsid w:val="005A5A5A"/>
    <w:rsid w:val="005A5C0A"/>
    <w:rsid w:val="005A617C"/>
    <w:rsid w:val="005A67C5"/>
    <w:rsid w:val="005A794D"/>
    <w:rsid w:val="005B1A00"/>
    <w:rsid w:val="005B1EED"/>
    <w:rsid w:val="005B2097"/>
    <w:rsid w:val="005B2221"/>
    <w:rsid w:val="005B2594"/>
    <w:rsid w:val="005B309A"/>
    <w:rsid w:val="005B350C"/>
    <w:rsid w:val="005B4291"/>
    <w:rsid w:val="005B4664"/>
    <w:rsid w:val="005B52F2"/>
    <w:rsid w:val="005B57F4"/>
    <w:rsid w:val="005B5FF3"/>
    <w:rsid w:val="005B60A4"/>
    <w:rsid w:val="005B614B"/>
    <w:rsid w:val="005B61FB"/>
    <w:rsid w:val="005B6410"/>
    <w:rsid w:val="005B6AF4"/>
    <w:rsid w:val="005B725F"/>
    <w:rsid w:val="005B7A73"/>
    <w:rsid w:val="005B7CF3"/>
    <w:rsid w:val="005C03BD"/>
    <w:rsid w:val="005C040C"/>
    <w:rsid w:val="005C04CB"/>
    <w:rsid w:val="005C1F6B"/>
    <w:rsid w:val="005C23EC"/>
    <w:rsid w:val="005C248B"/>
    <w:rsid w:val="005C28C3"/>
    <w:rsid w:val="005C397D"/>
    <w:rsid w:val="005C3A56"/>
    <w:rsid w:val="005C3B5B"/>
    <w:rsid w:val="005C416F"/>
    <w:rsid w:val="005C44A5"/>
    <w:rsid w:val="005C54DE"/>
    <w:rsid w:val="005C6685"/>
    <w:rsid w:val="005C66C4"/>
    <w:rsid w:val="005C690D"/>
    <w:rsid w:val="005C6CF0"/>
    <w:rsid w:val="005C71AB"/>
    <w:rsid w:val="005C7942"/>
    <w:rsid w:val="005C7BED"/>
    <w:rsid w:val="005D00E4"/>
    <w:rsid w:val="005D15BC"/>
    <w:rsid w:val="005D16AD"/>
    <w:rsid w:val="005D16DC"/>
    <w:rsid w:val="005D189D"/>
    <w:rsid w:val="005D3885"/>
    <w:rsid w:val="005D44D2"/>
    <w:rsid w:val="005D49CA"/>
    <w:rsid w:val="005D4CC3"/>
    <w:rsid w:val="005D51E8"/>
    <w:rsid w:val="005D552C"/>
    <w:rsid w:val="005D5C21"/>
    <w:rsid w:val="005D6C30"/>
    <w:rsid w:val="005D70E0"/>
    <w:rsid w:val="005D72E1"/>
    <w:rsid w:val="005D733E"/>
    <w:rsid w:val="005D7DF9"/>
    <w:rsid w:val="005E034D"/>
    <w:rsid w:val="005E05A0"/>
    <w:rsid w:val="005E190D"/>
    <w:rsid w:val="005E21A9"/>
    <w:rsid w:val="005E3218"/>
    <w:rsid w:val="005E32EF"/>
    <w:rsid w:val="005E3C20"/>
    <w:rsid w:val="005E53A3"/>
    <w:rsid w:val="005E5A13"/>
    <w:rsid w:val="005E60CE"/>
    <w:rsid w:val="005E6177"/>
    <w:rsid w:val="005E62DA"/>
    <w:rsid w:val="005E6B31"/>
    <w:rsid w:val="005E6E16"/>
    <w:rsid w:val="005E7F39"/>
    <w:rsid w:val="005F03C8"/>
    <w:rsid w:val="005F09E8"/>
    <w:rsid w:val="005F0DBD"/>
    <w:rsid w:val="005F158A"/>
    <w:rsid w:val="005F2185"/>
    <w:rsid w:val="005F233D"/>
    <w:rsid w:val="005F3AAD"/>
    <w:rsid w:val="005F3C51"/>
    <w:rsid w:val="005F3DD8"/>
    <w:rsid w:val="005F3F28"/>
    <w:rsid w:val="005F400E"/>
    <w:rsid w:val="005F4442"/>
    <w:rsid w:val="005F4823"/>
    <w:rsid w:val="005F63AD"/>
    <w:rsid w:val="005F7342"/>
    <w:rsid w:val="005F76D9"/>
    <w:rsid w:val="005F79B7"/>
    <w:rsid w:val="0060016B"/>
    <w:rsid w:val="006002DB"/>
    <w:rsid w:val="0060118E"/>
    <w:rsid w:val="00602C1A"/>
    <w:rsid w:val="00602CD6"/>
    <w:rsid w:val="0060313A"/>
    <w:rsid w:val="00603534"/>
    <w:rsid w:val="00603A08"/>
    <w:rsid w:val="00603E0C"/>
    <w:rsid w:val="00603E6E"/>
    <w:rsid w:val="006052AC"/>
    <w:rsid w:val="00606187"/>
    <w:rsid w:val="00606A2B"/>
    <w:rsid w:val="00606EFD"/>
    <w:rsid w:val="00607FB4"/>
    <w:rsid w:val="00610A3C"/>
    <w:rsid w:val="00611188"/>
    <w:rsid w:val="006123D5"/>
    <w:rsid w:val="00612C68"/>
    <w:rsid w:val="00612DD0"/>
    <w:rsid w:val="00614799"/>
    <w:rsid w:val="00614DC8"/>
    <w:rsid w:val="006152F9"/>
    <w:rsid w:val="00615D16"/>
    <w:rsid w:val="006160C2"/>
    <w:rsid w:val="006172F0"/>
    <w:rsid w:val="00617DFA"/>
    <w:rsid w:val="00620787"/>
    <w:rsid w:val="00620C7E"/>
    <w:rsid w:val="00621576"/>
    <w:rsid w:val="00621777"/>
    <w:rsid w:val="00622D26"/>
    <w:rsid w:val="00624061"/>
    <w:rsid w:val="0062495E"/>
    <w:rsid w:val="00624DDA"/>
    <w:rsid w:val="00625790"/>
    <w:rsid w:val="00626081"/>
    <w:rsid w:val="00626318"/>
    <w:rsid w:val="0062638F"/>
    <w:rsid w:val="00627F48"/>
    <w:rsid w:val="00630C23"/>
    <w:rsid w:val="00631719"/>
    <w:rsid w:val="00631768"/>
    <w:rsid w:val="0063327C"/>
    <w:rsid w:val="00633A3B"/>
    <w:rsid w:val="00634E48"/>
    <w:rsid w:val="00634E4A"/>
    <w:rsid w:val="00635240"/>
    <w:rsid w:val="00635325"/>
    <w:rsid w:val="0063680E"/>
    <w:rsid w:val="00636FDE"/>
    <w:rsid w:val="0063701D"/>
    <w:rsid w:val="00637267"/>
    <w:rsid w:val="006373A3"/>
    <w:rsid w:val="00640C17"/>
    <w:rsid w:val="0064134D"/>
    <w:rsid w:val="006414AD"/>
    <w:rsid w:val="006426DA"/>
    <w:rsid w:val="00643233"/>
    <w:rsid w:val="00643B3C"/>
    <w:rsid w:val="00644558"/>
    <w:rsid w:val="006447E8"/>
    <w:rsid w:val="00644B6B"/>
    <w:rsid w:val="00644E51"/>
    <w:rsid w:val="00645090"/>
    <w:rsid w:val="00645176"/>
    <w:rsid w:val="006460AB"/>
    <w:rsid w:val="00647355"/>
    <w:rsid w:val="00647AA8"/>
    <w:rsid w:val="006500AF"/>
    <w:rsid w:val="00650E8E"/>
    <w:rsid w:val="00651C73"/>
    <w:rsid w:val="00651F1B"/>
    <w:rsid w:val="00652DB5"/>
    <w:rsid w:val="006534A3"/>
    <w:rsid w:val="006539D6"/>
    <w:rsid w:val="00653B5E"/>
    <w:rsid w:val="00653E59"/>
    <w:rsid w:val="0065481B"/>
    <w:rsid w:val="00654FDB"/>
    <w:rsid w:val="00655983"/>
    <w:rsid w:val="00655EB6"/>
    <w:rsid w:val="00656A35"/>
    <w:rsid w:val="00657124"/>
    <w:rsid w:val="006574B6"/>
    <w:rsid w:val="006574BB"/>
    <w:rsid w:val="00660291"/>
    <w:rsid w:val="00660852"/>
    <w:rsid w:val="00660D7B"/>
    <w:rsid w:val="00660EC5"/>
    <w:rsid w:val="0066104A"/>
    <w:rsid w:val="00662278"/>
    <w:rsid w:val="00663FCF"/>
    <w:rsid w:val="00664BED"/>
    <w:rsid w:val="00664C07"/>
    <w:rsid w:val="006652A2"/>
    <w:rsid w:val="00665389"/>
    <w:rsid w:val="00666736"/>
    <w:rsid w:val="00667290"/>
    <w:rsid w:val="0066758C"/>
    <w:rsid w:val="00670E0F"/>
    <w:rsid w:val="00670EFF"/>
    <w:rsid w:val="00671926"/>
    <w:rsid w:val="006725A6"/>
    <w:rsid w:val="006727D4"/>
    <w:rsid w:val="00672EF3"/>
    <w:rsid w:val="00673A04"/>
    <w:rsid w:val="00673D5D"/>
    <w:rsid w:val="0067464A"/>
    <w:rsid w:val="006750C6"/>
    <w:rsid w:val="00675666"/>
    <w:rsid w:val="00675835"/>
    <w:rsid w:val="0067589A"/>
    <w:rsid w:val="00675D96"/>
    <w:rsid w:val="0067644E"/>
    <w:rsid w:val="00676D9B"/>
    <w:rsid w:val="00676F0C"/>
    <w:rsid w:val="006770BE"/>
    <w:rsid w:val="00677227"/>
    <w:rsid w:val="00677BC6"/>
    <w:rsid w:val="00680301"/>
    <w:rsid w:val="00680D17"/>
    <w:rsid w:val="00681703"/>
    <w:rsid w:val="00681CDD"/>
    <w:rsid w:val="00682351"/>
    <w:rsid w:val="006833A7"/>
    <w:rsid w:val="00683425"/>
    <w:rsid w:val="00683CB3"/>
    <w:rsid w:val="00684001"/>
    <w:rsid w:val="0068468B"/>
    <w:rsid w:val="00686D26"/>
    <w:rsid w:val="00687270"/>
    <w:rsid w:val="00687620"/>
    <w:rsid w:val="00690206"/>
    <w:rsid w:val="00690D18"/>
    <w:rsid w:val="00690E67"/>
    <w:rsid w:val="00691520"/>
    <w:rsid w:val="006927B4"/>
    <w:rsid w:val="00693600"/>
    <w:rsid w:val="006937FF"/>
    <w:rsid w:val="00693A01"/>
    <w:rsid w:val="00693BBB"/>
    <w:rsid w:val="00693EF8"/>
    <w:rsid w:val="006946AB"/>
    <w:rsid w:val="0069470A"/>
    <w:rsid w:val="00694919"/>
    <w:rsid w:val="00694E09"/>
    <w:rsid w:val="00695AA8"/>
    <w:rsid w:val="00695AF8"/>
    <w:rsid w:val="00695B66"/>
    <w:rsid w:val="0069728A"/>
    <w:rsid w:val="006974FC"/>
    <w:rsid w:val="0069787A"/>
    <w:rsid w:val="00697F14"/>
    <w:rsid w:val="006A0704"/>
    <w:rsid w:val="006A09DD"/>
    <w:rsid w:val="006A11E7"/>
    <w:rsid w:val="006A14AA"/>
    <w:rsid w:val="006A2A50"/>
    <w:rsid w:val="006A2F33"/>
    <w:rsid w:val="006A345D"/>
    <w:rsid w:val="006A4182"/>
    <w:rsid w:val="006A4641"/>
    <w:rsid w:val="006A48A7"/>
    <w:rsid w:val="006A48C3"/>
    <w:rsid w:val="006A4A8B"/>
    <w:rsid w:val="006A4F21"/>
    <w:rsid w:val="006A5295"/>
    <w:rsid w:val="006A59E4"/>
    <w:rsid w:val="006A67E9"/>
    <w:rsid w:val="006A71DA"/>
    <w:rsid w:val="006A76F2"/>
    <w:rsid w:val="006A77B6"/>
    <w:rsid w:val="006A7E47"/>
    <w:rsid w:val="006B040A"/>
    <w:rsid w:val="006B0798"/>
    <w:rsid w:val="006B0E92"/>
    <w:rsid w:val="006B1F02"/>
    <w:rsid w:val="006B288D"/>
    <w:rsid w:val="006B436A"/>
    <w:rsid w:val="006B489F"/>
    <w:rsid w:val="006B4BA1"/>
    <w:rsid w:val="006B4BDC"/>
    <w:rsid w:val="006B4E36"/>
    <w:rsid w:val="006B5124"/>
    <w:rsid w:val="006B558A"/>
    <w:rsid w:val="006B58B8"/>
    <w:rsid w:val="006B5EBE"/>
    <w:rsid w:val="006B5EF4"/>
    <w:rsid w:val="006B6719"/>
    <w:rsid w:val="006B6C16"/>
    <w:rsid w:val="006B743F"/>
    <w:rsid w:val="006B7881"/>
    <w:rsid w:val="006B7AAC"/>
    <w:rsid w:val="006B7E55"/>
    <w:rsid w:val="006B7FA4"/>
    <w:rsid w:val="006C05BF"/>
    <w:rsid w:val="006C1207"/>
    <w:rsid w:val="006C12F3"/>
    <w:rsid w:val="006C1426"/>
    <w:rsid w:val="006C20AD"/>
    <w:rsid w:val="006C25C6"/>
    <w:rsid w:val="006C3896"/>
    <w:rsid w:val="006C3D0B"/>
    <w:rsid w:val="006C3F0F"/>
    <w:rsid w:val="006C4CC0"/>
    <w:rsid w:val="006C598C"/>
    <w:rsid w:val="006C59AA"/>
    <w:rsid w:val="006C5CF5"/>
    <w:rsid w:val="006C65AF"/>
    <w:rsid w:val="006C6CD9"/>
    <w:rsid w:val="006C7480"/>
    <w:rsid w:val="006D0080"/>
    <w:rsid w:val="006D0477"/>
    <w:rsid w:val="006D04B8"/>
    <w:rsid w:val="006D1C78"/>
    <w:rsid w:val="006D1F7A"/>
    <w:rsid w:val="006D206D"/>
    <w:rsid w:val="006D2168"/>
    <w:rsid w:val="006D28AB"/>
    <w:rsid w:val="006D50DF"/>
    <w:rsid w:val="006D5518"/>
    <w:rsid w:val="006D5C45"/>
    <w:rsid w:val="006D6318"/>
    <w:rsid w:val="006D7960"/>
    <w:rsid w:val="006E04E2"/>
    <w:rsid w:val="006E141E"/>
    <w:rsid w:val="006E1954"/>
    <w:rsid w:val="006E1CEE"/>
    <w:rsid w:val="006E2F08"/>
    <w:rsid w:val="006E35C1"/>
    <w:rsid w:val="006E4343"/>
    <w:rsid w:val="006E4598"/>
    <w:rsid w:val="006E49B1"/>
    <w:rsid w:val="006E5FCF"/>
    <w:rsid w:val="006E680C"/>
    <w:rsid w:val="006E6884"/>
    <w:rsid w:val="006E73A4"/>
    <w:rsid w:val="006E7527"/>
    <w:rsid w:val="006E7A6A"/>
    <w:rsid w:val="006F029B"/>
    <w:rsid w:val="006F0A77"/>
    <w:rsid w:val="006F11FE"/>
    <w:rsid w:val="006F1712"/>
    <w:rsid w:val="006F183F"/>
    <w:rsid w:val="006F1FF8"/>
    <w:rsid w:val="006F2068"/>
    <w:rsid w:val="006F2208"/>
    <w:rsid w:val="006F236C"/>
    <w:rsid w:val="006F39A6"/>
    <w:rsid w:val="006F3B65"/>
    <w:rsid w:val="006F413D"/>
    <w:rsid w:val="006F425F"/>
    <w:rsid w:val="006F4960"/>
    <w:rsid w:val="006F4A82"/>
    <w:rsid w:val="006F53DB"/>
    <w:rsid w:val="006F549C"/>
    <w:rsid w:val="006F5803"/>
    <w:rsid w:val="006F5CE6"/>
    <w:rsid w:val="006F6235"/>
    <w:rsid w:val="006F62A1"/>
    <w:rsid w:val="006F69B7"/>
    <w:rsid w:val="0070066D"/>
    <w:rsid w:val="00700B53"/>
    <w:rsid w:val="0070373B"/>
    <w:rsid w:val="00703AA7"/>
    <w:rsid w:val="00703DC6"/>
    <w:rsid w:val="00703FFB"/>
    <w:rsid w:val="00704F4E"/>
    <w:rsid w:val="00705AF6"/>
    <w:rsid w:val="00705C08"/>
    <w:rsid w:val="00705EB1"/>
    <w:rsid w:val="0070607F"/>
    <w:rsid w:val="00706439"/>
    <w:rsid w:val="00706660"/>
    <w:rsid w:val="00706BF6"/>
    <w:rsid w:val="007071B7"/>
    <w:rsid w:val="007077E9"/>
    <w:rsid w:val="00707EB5"/>
    <w:rsid w:val="00710FF2"/>
    <w:rsid w:val="00711C3E"/>
    <w:rsid w:val="0071244E"/>
    <w:rsid w:val="00712B53"/>
    <w:rsid w:val="00712B60"/>
    <w:rsid w:val="00712F7E"/>
    <w:rsid w:val="00713E6A"/>
    <w:rsid w:val="007145B4"/>
    <w:rsid w:val="00714AF4"/>
    <w:rsid w:val="0071539C"/>
    <w:rsid w:val="0071579B"/>
    <w:rsid w:val="007157AA"/>
    <w:rsid w:val="0071622F"/>
    <w:rsid w:val="007163CF"/>
    <w:rsid w:val="00716672"/>
    <w:rsid w:val="00716B03"/>
    <w:rsid w:val="007170FB"/>
    <w:rsid w:val="00720C2A"/>
    <w:rsid w:val="00721296"/>
    <w:rsid w:val="007220A6"/>
    <w:rsid w:val="00722814"/>
    <w:rsid w:val="00722A2A"/>
    <w:rsid w:val="007247A0"/>
    <w:rsid w:val="00724A5E"/>
    <w:rsid w:val="00724AD9"/>
    <w:rsid w:val="00724FA4"/>
    <w:rsid w:val="00725070"/>
    <w:rsid w:val="007263C4"/>
    <w:rsid w:val="00726BB6"/>
    <w:rsid w:val="00726C5A"/>
    <w:rsid w:val="00726EBF"/>
    <w:rsid w:val="00727802"/>
    <w:rsid w:val="007300F1"/>
    <w:rsid w:val="00730147"/>
    <w:rsid w:val="00730800"/>
    <w:rsid w:val="007308A9"/>
    <w:rsid w:val="0073091B"/>
    <w:rsid w:val="007310ED"/>
    <w:rsid w:val="0073144D"/>
    <w:rsid w:val="00731C87"/>
    <w:rsid w:val="0073247A"/>
    <w:rsid w:val="00733C38"/>
    <w:rsid w:val="00733CB2"/>
    <w:rsid w:val="00735961"/>
    <w:rsid w:val="00735C37"/>
    <w:rsid w:val="007360AB"/>
    <w:rsid w:val="007366C7"/>
    <w:rsid w:val="00736827"/>
    <w:rsid w:val="007368AC"/>
    <w:rsid w:val="00736E2B"/>
    <w:rsid w:val="007372D0"/>
    <w:rsid w:val="00737976"/>
    <w:rsid w:val="00737A88"/>
    <w:rsid w:val="00737D6F"/>
    <w:rsid w:val="00740629"/>
    <w:rsid w:val="00741441"/>
    <w:rsid w:val="00741606"/>
    <w:rsid w:val="00742300"/>
    <w:rsid w:val="00742EDD"/>
    <w:rsid w:val="0074333C"/>
    <w:rsid w:val="00743627"/>
    <w:rsid w:val="00743C28"/>
    <w:rsid w:val="0074422E"/>
    <w:rsid w:val="007442C8"/>
    <w:rsid w:val="00745083"/>
    <w:rsid w:val="007451F6"/>
    <w:rsid w:val="0074556F"/>
    <w:rsid w:val="00745C5F"/>
    <w:rsid w:val="00746196"/>
    <w:rsid w:val="00746BC1"/>
    <w:rsid w:val="00746BD6"/>
    <w:rsid w:val="00747003"/>
    <w:rsid w:val="007506BB"/>
    <w:rsid w:val="0075098D"/>
    <w:rsid w:val="007511DE"/>
    <w:rsid w:val="00751CA1"/>
    <w:rsid w:val="00751CCA"/>
    <w:rsid w:val="00752BAC"/>
    <w:rsid w:val="007531BD"/>
    <w:rsid w:val="007533DE"/>
    <w:rsid w:val="00753EBE"/>
    <w:rsid w:val="00753F88"/>
    <w:rsid w:val="007542DF"/>
    <w:rsid w:val="0075445F"/>
    <w:rsid w:val="007546A1"/>
    <w:rsid w:val="00754827"/>
    <w:rsid w:val="00754854"/>
    <w:rsid w:val="00754FFB"/>
    <w:rsid w:val="0075670E"/>
    <w:rsid w:val="00756F6E"/>
    <w:rsid w:val="007572A2"/>
    <w:rsid w:val="0075793A"/>
    <w:rsid w:val="00757B71"/>
    <w:rsid w:val="007602AA"/>
    <w:rsid w:val="0076055C"/>
    <w:rsid w:val="00760946"/>
    <w:rsid w:val="00760C7F"/>
    <w:rsid w:val="00760E56"/>
    <w:rsid w:val="00760EDB"/>
    <w:rsid w:val="00761C0C"/>
    <w:rsid w:val="00762AF6"/>
    <w:rsid w:val="00762BFB"/>
    <w:rsid w:val="00764657"/>
    <w:rsid w:val="0076471E"/>
    <w:rsid w:val="0076481F"/>
    <w:rsid w:val="0076529A"/>
    <w:rsid w:val="007652EF"/>
    <w:rsid w:val="00765512"/>
    <w:rsid w:val="00765CD2"/>
    <w:rsid w:val="00765DAA"/>
    <w:rsid w:val="0076607B"/>
    <w:rsid w:val="007660A2"/>
    <w:rsid w:val="0076633A"/>
    <w:rsid w:val="00766F86"/>
    <w:rsid w:val="00767E6D"/>
    <w:rsid w:val="00767F88"/>
    <w:rsid w:val="00770057"/>
    <w:rsid w:val="007701F4"/>
    <w:rsid w:val="007705D2"/>
    <w:rsid w:val="00770950"/>
    <w:rsid w:val="00771397"/>
    <w:rsid w:val="00771FF7"/>
    <w:rsid w:val="00772276"/>
    <w:rsid w:val="0077233C"/>
    <w:rsid w:val="0077254F"/>
    <w:rsid w:val="00772BDC"/>
    <w:rsid w:val="00773FF0"/>
    <w:rsid w:val="00774650"/>
    <w:rsid w:val="007748E2"/>
    <w:rsid w:val="00774A2E"/>
    <w:rsid w:val="00775472"/>
    <w:rsid w:val="0077593B"/>
    <w:rsid w:val="0077598D"/>
    <w:rsid w:val="00775AEA"/>
    <w:rsid w:val="00775B52"/>
    <w:rsid w:val="0077677D"/>
    <w:rsid w:val="007777AE"/>
    <w:rsid w:val="00777843"/>
    <w:rsid w:val="00780792"/>
    <w:rsid w:val="0078191A"/>
    <w:rsid w:val="00781C3A"/>
    <w:rsid w:val="007829A1"/>
    <w:rsid w:val="007830A4"/>
    <w:rsid w:val="00783186"/>
    <w:rsid w:val="007835C2"/>
    <w:rsid w:val="00785048"/>
    <w:rsid w:val="0078599F"/>
    <w:rsid w:val="0078609D"/>
    <w:rsid w:val="007860BA"/>
    <w:rsid w:val="00786A5D"/>
    <w:rsid w:val="00786A7B"/>
    <w:rsid w:val="00786B83"/>
    <w:rsid w:val="00787057"/>
    <w:rsid w:val="007872ED"/>
    <w:rsid w:val="00787470"/>
    <w:rsid w:val="00790A41"/>
    <w:rsid w:val="00790A55"/>
    <w:rsid w:val="00791C05"/>
    <w:rsid w:val="00791C3B"/>
    <w:rsid w:val="0079207E"/>
    <w:rsid w:val="007926E5"/>
    <w:rsid w:val="0079463C"/>
    <w:rsid w:val="00794BF8"/>
    <w:rsid w:val="00795B9D"/>
    <w:rsid w:val="00796562"/>
    <w:rsid w:val="007965BB"/>
    <w:rsid w:val="007A004F"/>
    <w:rsid w:val="007A0AE2"/>
    <w:rsid w:val="007A11C8"/>
    <w:rsid w:val="007A1AAC"/>
    <w:rsid w:val="007A3DEA"/>
    <w:rsid w:val="007A3EBD"/>
    <w:rsid w:val="007A421C"/>
    <w:rsid w:val="007A44B4"/>
    <w:rsid w:val="007A45B8"/>
    <w:rsid w:val="007A46E3"/>
    <w:rsid w:val="007A65CA"/>
    <w:rsid w:val="007A6772"/>
    <w:rsid w:val="007A67F0"/>
    <w:rsid w:val="007A74B0"/>
    <w:rsid w:val="007A7D3D"/>
    <w:rsid w:val="007A7FF6"/>
    <w:rsid w:val="007B0081"/>
    <w:rsid w:val="007B0780"/>
    <w:rsid w:val="007B07AB"/>
    <w:rsid w:val="007B0904"/>
    <w:rsid w:val="007B1237"/>
    <w:rsid w:val="007B225D"/>
    <w:rsid w:val="007B25B0"/>
    <w:rsid w:val="007B26FD"/>
    <w:rsid w:val="007B26FE"/>
    <w:rsid w:val="007B2A9A"/>
    <w:rsid w:val="007B31C8"/>
    <w:rsid w:val="007B3ACC"/>
    <w:rsid w:val="007B5736"/>
    <w:rsid w:val="007B5F14"/>
    <w:rsid w:val="007B5F66"/>
    <w:rsid w:val="007B61FB"/>
    <w:rsid w:val="007B6AAB"/>
    <w:rsid w:val="007B7651"/>
    <w:rsid w:val="007B76F5"/>
    <w:rsid w:val="007C07C2"/>
    <w:rsid w:val="007C09CB"/>
    <w:rsid w:val="007C14A4"/>
    <w:rsid w:val="007C174F"/>
    <w:rsid w:val="007C1C64"/>
    <w:rsid w:val="007C215D"/>
    <w:rsid w:val="007C2688"/>
    <w:rsid w:val="007C29DA"/>
    <w:rsid w:val="007C2E05"/>
    <w:rsid w:val="007C3210"/>
    <w:rsid w:val="007C3317"/>
    <w:rsid w:val="007C36A4"/>
    <w:rsid w:val="007C390D"/>
    <w:rsid w:val="007C3F42"/>
    <w:rsid w:val="007C53F0"/>
    <w:rsid w:val="007C56B9"/>
    <w:rsid w:val="007C62C4"/>
    <w:rsid w:val="007C774B"/>
    <w:rsid w:val="007C7B57"/>
    <w:rsid w:val="007D02AF"/>
    <w:rsid w:val="007D03EA"/>
    <w:rsid w:val="007D064A"/>
    <w:rsid w:val="007D0DF8"/>
    <w:rsid w:val="007D142C"/>
    <w:rsid w:val="007D1AA1"/>
    <w:rsid w:val="007D2012"/>
    <w:rsid w:val="007D2553"/>
    <w:rsid w:val="007D3D3A"/>
    <w:rsid w:val="007D45ED"/>
    <w:rsid w:val="007D556E"/>
    <w:rsid w:val="007D55D6"/>
    <w:rsid w:val="007D5796"/>
    <w:rsid w:val="007D5802"/>
    <w:rsid w:val="007D5D9F"/>
    <w:rsid w:val="007E04A5"/>
    <w:rsid w:val="007E0841"/>
    <w:rsid w:val="007E09D2"/>
    <w:rsid w:val="007E124D"/>
    <w:rsid w:val="007E19E3"/>
    <w:rsid w:val="007E24C1"/>
    <w:rsid w:val="007E292E"/>
    <w:rsid w:val="007E3257"/>
    <w:rsid w:val="007E32C0"/>
    <w:rsid w:val="007E3FE8"/>
    <w:rsid w:val="007E4409"/>
    <w:rsid w:val="007E48BC"/>
    <w:rsid w:val="007E5003"/>
    <w:rsid w:val="007E544F"/>
    <w:rsid w:val="007E567B"/>
    <w:rsid w:val="007E5C9F"/>
    <w:rsid w:val="007E6738"/>
    <w:rsid w:val="007E6AC5"/>
    <w:rsid w:val="007E7948"/>
    <w:rsid w:val="007E79F7"/>
    <w:rsid w:val="007E7C00"/>
    <w:rsid w:val="007E7D69"/>
    <w:rsid w:val="007F0797"/>
    <w:rsid w:val="007F0A64"/>
    <w:rsid w:val="007F0A95"/>
    <w:rsid w:val="007F0C1A"/>
    <w:rsid w:val="007F0E17"/>
    <w:rsid w:val="007F12B4"/>
    <w:rsid w:val="007F1E59"/>
    <w:rsid w:val="007F2051"/>
    <w:rsid w:val="007F2B0F"/>
    <w:rsid w:val="007F355D"/>
    <w:rsid w:val="007F3630"/>
    <w:rsid w:val="007F5C1A"/>
    <w:rsid w:val="007F6443"/>
    <w:rsid w:val="007F648B"/>
    <w:rsid w:val="007F7072"/>
    <w:rsid w:val="007F7194"/>
    <w:rsid w:val="007F78F6"/>
    <w:rsid w:val="0080008C"/>
    <w:rsid w:val="00800090"/>
    <w:rsid w:val="008001A8"/>
    <w:rsid w:val="008001F5"/>
    <w:rsid w:val="00800A3B"/>
    <w:rsid w:val="008018A8"/>
    <w:rsid w:val="00802798"/>
    <w:rsid w:val="0080374E"/>
    <w:rsid w:val="008041C6"/>
    <w:rsid w:val="00804897"/>
    <w:rsid w:val="00804FB3"/>
    <w:rsid w:val="00805F37"/>
    <w:rsid w:val="00807559"/>
    <w:rsid w:val="00810A6B"/>
    <w:rsid w:val="00811064"/>
    <w:rsid w:val="008112B5"/>
    <w:rsid w:val="0081143B"/>
    <w:rsid w:val="0081144C"/>
    <w:rsid w:val="008135EF"/>
    <w:rsid w:val="00813684"/>
    <w:rsid w:val="00813D45"/>
    <w:rsid w:val="008147BE"/>
    <w:rsid w:val="00815088"/>
    <w:rsid w:val="0081561D"/>
    <w:rsid w:val="008159D0"/>
    <w:rsid w:val="0081719B"/>
    <w:rsid w:val="0081785B"/>
    <w:rsid w:val="00817B22"/>
    <w:rsid w:val="00817E3D"/>
    <w:rsid w:val="008209FB"/>
    <w:rsid w:val="00820E7B"/>
    <w:rsid w:val="00821340"/>
    <w:rsid w:val="008213E6"/>
    <w:rsid w:val="0082178D"/>
    <w:rsid w:val="00821A0B"/>
    <w:rsid w:val="00822C58"/>
    <w:rsid w:val="00822D23"/>
    <w:rsid w:val="00823714"/>
    <w:rsid w:val="00824E68"/>
    <w:rsid w:val="0082504B"/>
    <w:rsid w:val="00826138"/>
    <w:rsid w:val="00826933"/>
    <w:rsid w:val="00826EB7"/>
    <w:rsid w:val="0083046F"/>
    <w:rsid w:val="008307E9"/>
    <w:rsid w:val="00830BDC"/>
    <w:rsid w:val="00831CAD"/>
    <w:rsid w:val="00831EEE"/>
    <w:rsid w:val="008324E4"/>
    <w:rsid w:val="0083286B"/>
    <w:rsid w:val="00833281"/>
    <w:rsid w:val="008333CB"/>
    <w:rsid w:val="00833D4C"/>
    <w:rsid w:val="00833DF0"/>
    <w:rsid w:val="008344E7"/>
    <w:rsid w:val="00834DA8"/>
    <w:rsid w:val="00834E6E"/>
    <w:rsid w:val="0083598F"/>
    <w:rsid w:val="00835C33"/>
    <w:rsid w:val="008360A8"/>
    <w:rsid w:val="00840038"/>
    <w:rsid w:val="00840087"/>
    <w:rsid w:val="008404F9"/>
    <w:rsid w:val="00842664"/>
    <w:rsid w:val="00843772"/>
    <w:rsid w:val="00843E42"/>
    <w:rsid w:val="00844EF4"/>
    <w:rsid w:val="008450BC"/>
    <w:rsid w:val="00845C32"/>
    <w:rsid w:val="008461D1"/>
    <w:rsid w:val="008469F1"/>
    <w:rsid w:val="00847191"/>
    <w:rsid w:val="00847477"/>
    <w:rsid w:val="00847643"/>
    <w:rsid w:val="0085002C"/>
    <w:rsid w:val="008505F4"/>
    <w:rsid w:val="00850D17"/>
    <w:rsid w:val="00850F3A"/>
    <w:rsid w:val="008510C8"/>
    <w:rsid w:val="00851530"/>
    <w:rsid w:val="008521BB"/>
    <w:rsid w:val="00852259"/>
    <w:rsid w:val="00852344"/>
    <w:rsid w:val="00852416"/>
    <w:rsid w:val="0085248D"/>
    <w:rsid w:val="0085334B"/>
    <w:rsid w:val="00853929"/>
    <w:rsid w:val="00853B7F"/>
    <w:rsid w:val="00854297"/>
    <w:rsid w:val="00854A24"/>
    <w:rsid w:val="00854F32"/>
    <w:rsid w:val="0085500F"/>
    <w:rsid w:val="00855035"/>
    <w:rsid w:val="00855F51"/>
    <w:rsid w:val="008575F2"/>
    <w:rsid w:val="00857A1A"/>
    <w:rsid w:val="00857D36"/>
    <w:rsid w:val="00860B86"/>
    <w:rsid w:val="00863145"/>
    <w:rsid w:val="00863737"/>
    <w:rsid w:val="00863AF2"/>
    <w:rsid w:val="00863DDB"/>
    <w:rsid w:val="0086534D"/>
    <w:rsid w:val="008653CD"/>
    <w:rsid w:val="008659D6"/>
    <w:rsid w:val="00865FDF"/>
    <w:rsid w:val="0086738A"/>
    <w:rsid w:val="00867839"/>
    <w:rsid w:val="00870214"/>
    <w:rsid w:val="008708BE"/>
    <w:rsid w:val="00871685"/>
    <w:rsid w:val="008717D9"/>
    <w:rsid w:val="008724CB"/>
    <w:rsid w:val="00872BE6"/>
    <w:rsid w:val="00873601"/>
    <w:rsid w:val="0087362A"/>
    <w:rsid w:val="00873F93"/>
    <w:rsid w:val="0087402B"/>
    <w:rsid w:val="00874414"/>
    <w:rsid w:val="00874549"/>
    <w:rsid w:val="00874F01"/>
    <w:rsid w:val="0087609D"/>
    <w:rsid w:val="008774FD"/>
    <w:rsid w:val="0088065E"/>
    <w:rsid w:val="00880868"/>
    <w:rsid w:val="00881483"/>
    <w:rsid w:val="00882B5C"/>
    <w:rsid w:val="00882BA1"/>
    <w:rsid w:val="00882EE0"/>
    <w:rsid w:val="00885C51"/>
    <w:rsid w:val="00885EB0"/>
    <w:rsid w:val="008902FC"/>
    <w:rsid w:val="00890704"/>
    <w:rsid w:val="00890867"/>
    <w:rsid w:val="0089114A"/>
    <w:rsid w:val="0089147D"/>
    <w:rsid w:val="00891F4B"/>
    <w:rsid w:val="0089264A"/>
    <w:rsid w:val="008929A4"/>
    <w:rsid w:val="00892DCE"/>
    <w:rsid w:val="00893FBA"/>
    <w:rsid w:val="0089458F"/>
    <w:rsid w:val="008947FA"/>
    <w:rsid w:val="00894B21"/>
    <w:rsid w:val="00894D2C"/>
    <w:rsid w:val="00894DE0"/>
    <w:rsid w:val="008951C8"/>
    <w:rsid w:val="0089593C"/>
    <w:rsid w:val="0089594B"/>
    <w:rsid w:val="00895B74"/>
    <w:rsid w:val="00896910"/>
    <w:rsid w:val="00896B85"/>
    <w:rsid w:val="008A04FE"/>
    <w:rsid w:val="008A22BE"/>
    <w:rsid w:val="008A48C6"/>
    <w:rsid w:val="008A5B18"/>
    <w:rsid w:val="008A6DC2"/>
    <w:rsid w:val="008A7A15"/>
    <w:rsid w:val="008A7CD0"/>
    <w:rsid w:val="008B00BE"/>
    <w:rsid w:val="008B0211"/>
    <w:rsid w:val="008B0E1D"/>
    <w:rsid w:val="008B1BFE"/>
    <w:rsid w:val="008B3EE6"/>
    <w:rsid w:val="008B483C"/>
    <w:rsid w:val="008B4B97"/>
    <w:rsid w:val="008B4E12"/>
    <w:rsid w:val="008B53E4"/>
    <w:rsid w:val="008B582D"/>
    <w:rsid w:val="008B6056"/>
    <w:rsid w:val="008B660D"/>
    <w:rsid w:val="008B6A56"/>
    <w:rsid w:val="008B7DBC"/>
    <w:rsid w:val="008B7F24"/>
    <w:rsid w:val="008C123A"/>
    <w:rsid w:val="008C1442"/>
    <w:rsid w:val="008C16F6"/>
    <w:rsid w:val="008C1B36"/>
    <w:rsid w:val="008C1DDE"/>
    <w:rsid w:val="008C3880"/>
    <w:rsid w:val="008C39D4"/>
    <w:rsid w:val="008C5F0F"/>
    <w:rsid w:val="008C5F1A"/>
    <w:rsid w:val="008C63AD"/>
    <w:rsid w:val="008C746F"/>
    <w:rsid w:val="008D012A"/>
    <w:rsid w:val="008D05E2"/>
    <w:rsid w:val="008D065E"/>
    <w:rsid w:val="008D06C6"/>
    <w:rsid w:val="008D06E5"/>
    <w:rsid w:val="008D10AF"/>
    <w:rsid w:val="008D142E"/>
    <w:rsid w:val="008D1671"/>
    <w:rsid w:val="008D1DC3"/>
    <w:rsid w:val="008D3591"/>
    <w:rsid w:val="008D4625"/>
    <w:rsid w:val="008D55AF"/>
    <w:rsid w:val="008D5FBC"/>
    <w:rsid w:val="008D60E9"/>
    <w:rsid w:val="008D6CFE"/>
    <w:rsid w:val="008D6E2B"/>
    <w:rsid w:val="008D7059"/>
    <w:rsid w:val="008D7A92"/>
    <w:rsid w:val="008D7E84"/>
    <w:rsid w:val="008E021B"/>
    <w:rsid w:val="008E1E6E"/>
    <w:rsid w:val="008E2414"/>
    <w:rsid w:val="008E2B33"/>
    <w:rsid w:val="008E353E"/>
    <w:rsid w:val="008E3E5F"/>
    <w:rsid w:val="008E3F2A"/>
    <w:rsid w:val="008E6250"/>
    <w:rsid w:val="008E663D"/>
    <w:rsid w:val="008E673D"/>
    <w:rsid w:val="008E7BEC"/>
    <w:rsid w:val="008E7F39"/>
    <w:rsid w:val="008F0028"/>
    <w:rsid w:val="008F0318"/>
    <w:rsid w:val="008F0D39"/>
    <w:rsid w:val="008F110B"/>
    <w:rsid w:val="008F1199"/>
    <w:rsid w:val="008F1234"/>
    <w:rsid w:val="008F225A"/>
    <w:rsid w:val="008F2436"/>
    <w:rsid w:val="008F3C8B"/>
    <w:rsid w:val="008F4404"/>
    <w:rsid w:val="008F4B84"/>
    <w:rsid w:val="008F4FA5"/>
    <w:rsid w:val="008F5216"/>
    <w:rsid w:val="008F542B"/>
    <w:rsid w:val="008F6378"/>
    <w:rsid w:val="008F6640"/>
    <w:rsid w:val="008F68FA"/>
    <w:rsid w:val="008F6E31"/>
    <w:rsid w:val="008F704E"/>
    <w:rsid w:val="008F7675"/>
    <w:rsid w:val="008F792D"/>
    <w:rsid w:val="008F7B01"/>
    <w:rsid w:val="009005B9"/>
    <w:rsid w:val="009005C8"/>
    <w:rsid w:val="00901747"/>
    <w:rsid w:val="00901C98"/>
    <w:rsid w:val="00902133"/>
    <w:rsid w:val="00902AF6"/>
    <w:rsid w:val="00903749"/>
    <w:rsid w:val="00903F1E"/>
    <w:rsid w:val="009046F3"/>
    <w:rsid w:val="00905030"/>
    <w:rsid w:val="009050BF"/>
    <w:rsid w:val="009060D2"/>
    <w:rsid w:val="00906906"/>
    <w:rsid w:val="00907A28"/>
    <w:rsid w:val="00907AA3"/>
    <w:rsid w:val="00907F2D"/>
    <w:rsid w:val="009106DE"/>
    <w:rsid w:val="00910E34"/>
    <w:rsid w:val="00910F93"/>
    <w:rsid w:val="00911A96"/>
    <w:rsid w:val="00912661"/>
    <w:rsid w:val="00912E81"/>
    <w:rsid w:val="009140BC"/>
    <w:rsid w:val="009142E2"/>
    <w:rsid w:val="00914707"/>
    <w:rsid w:val="00914805"/>
    <w:rsid w:val="00916FD3"/>
    <w:rsid w:val="0091739F"/>
    <w:rsid w:val="009177D3"/>
    <w:rsid w:val="00917BEB"/>
    <w:rsid w:val="00917D57"/>
    <w:rsid w:val="00920249"/>
    <w:rsid w:val="009209F5"/>
    <w:rsid w:val="00920B10"/>
    <w:rsid w:val="00920CE4"/>
    <w:rsid w:val="00922CC0"/>
    <w:rsid w:val="00922E30"/>
    <w:rsid w:val="0092367A"/>
    <w:rsid w:val="00923683"/>
    <w:rsid w:val="00923749"/>
    <w:rsid w:val="00923C94"/>
    <w:rsid w:val="00923E37"/>
    <w:rsid w:val="00923F7E"/>
    <w:rsid w:val="00924B42"/>
    <w:rsid w:val="00924C80"/>
    <w:rsid w:val="009250B2"/>
    <w:rsid w:val="0092547C"/>
    <w:rsid w:val="00925869"/>
    <w:rsid w:val="00925C8A"/>
    <w:rsid w:val="00926AB3"/>
    <w:rsid w:val="00926E14"/>
    <w:rsid w:val="0092740D"/>
    <w:rsid w:val="00930AE5"/>
    <w:rsid w:val="00930C7C"/>
    <w:rsid w:val="00931BC2"/>
    <w:rsid w:val="009325E6"/>
    <w:rsid w:val="00932802"/>
    <w:rsid w:val="00932F14"/>
    <w:rsid w:val="00933038"/>
    <w:rsid w:val="00933AFE"/>
    <w:rsid w:val="00934E4D"/>
    <w:rsid w:val="00934F26"/>
    <w:rsid w:val="00934FA1"/>
    <w:rsid w:val="00936B7E"/>
    <w:rsid w:val="009376C8"/>
    <w:rsid w:val="00940796"/>
    <w:rsid w:val="00940B9E"/>
    <w:rsid w:val="00940DEE"/>
    <w:rsid w:val="009414DF"/>
    <w:rsid w:val="00941A08"/>
    <w:rsid w:val="0094247F"/>
    <w:rsid w:val="00942BB0"/>
    <w:rsid w:val="00942BC1"/>
    <w:rsid w:val="00942D60"/>
    <w:rsid w:val="00943559"/>
    <w:rsid w:val="009440BD"/>
    <w:rsid w:val="00945658"/>
    <w:rsid w:val="009465D5"/>
    <w:rsid w:val="009468C8"/>
    <w:rsid w:val="00947E91"/>
    <w:rsid w:val="00947F29"/>
    <w:rsid w:val="00950028"/>
    <w:rsid w:val="009505C1"/>
    <w:rsid w:val="009508E6"/>
    <w:rsid w:val="00950B49"/>
    <w:rsid w:val="00950C89"/>
    <w:rsid w:val="00951203"/>
    <w:rsid w:val="00951727"/>
    <w:rsid w:val="009519C1"/>
    <w:rsid w:val="00951EAB"/>
    <w:rsid w:val="00952469"/>
    <w:rsid w:val="00952493"/>
    <w:rsid w:val="009524C2"/>
    <w:rsid w:val="009524CD"/>
    <w:rsid w:val="00952790"/>
    <w:rsid w:val="00952D0B"/>
    <w:rsid w:val="00953C97"/>
    <w:rsid w:val="00954FCC"/>
    <w:rsid w:val="009553A9"/>
    <w:rsid w:val="0095579D"/>
    <w:rsid w:val="009560A0"/>
    <w:rsid w:val="00956282"/>
    <w:rsid w:val="00956A8E"/>
    <w:rsid w:val="00957C3F"/>
    <w:rsid w:val="00960174"/>
    <w:rsid w:val="00960758"/>
    <w:rsid w:val="00960D53"/>
    <w:rsid w:val="00961DA3"/>
    <w:rsid w:val="00961E4E"/>
    <w:rsid w:val="0096250A"/>
    <w:rsid w:val="00962547"/>
    <w:rsid w:val="00962968"/>
    <w:rsid w:val="009636BA"/>
    <w:rsid w:val="0096385B"/>
    <w:rsid w:val="00963C01"/>
    <w:rsid w:val="00964012"/>
    <w:rsid w:val="0096523B"/>
    <w:rsid w:val="00965276"/>
    <w:rsid w:val="00965753"/>
    <w:rsid w:val="00966ED8"/>
    <w:rsid w:val="00966EE3"/>
    <w:rsid w:val="00967381"/>
    <w:rsid w:val="0096773E"/>
    <w:rsid w:val="00970137"/>
    <w:rsid w:val="00970AA4"/>
    <w:rsid w:val="009715F3"/>
    <w:rsid w:val="00971A49"/>
    <w:rsid w:val="009724C7"/>
    <w:rsid w:val="009726BE"/>
    <w:rsid w:val="00972D06"/>
    <w:rsid w:val="00973350"/>
    <w:rsid w:val="009737EF"/>
    <w:rsid w:val="0097505D"/>
    <w:rsid w:val="009750F8"/>
    <w:rsid w:val="00975123"/>
    <w:rsid w:val="00975B0B"/>
    <w:rsid w:val="00975C8D"/>
    <w:rsid w:val="00975E08"/>
    <w:rsid w:val="00975E23"/>
    <w:rsid w:val="009762CD"/>
    <w:rsid w:val="009771EE"/>
    <w:rsid w:val="00977492"/>
    <w:rsid w:val="009774A8"/>
    <w:rsid w:val="00977958"/>
    <w:rsid w:val="00980359"/>
    <w:rsid w:val="00981324"/>
    <w:rsid w:val="00981B03"/>
    <w:rsid w:val="009822B6"/>
    <w:rsid w:val="00982B7E"/>
    <w:rsid w:val="00982EF5"/>
    <w:rsid w:val="00983273"/>
    <w:rsid w:val="009839E2"/>
    <w:rsid w:val="009843A4"/>
    <w:rsid w:val="009849FB"/>
    <w:rsid w:val="0098526C"/>
    <w:rsid w:val="00985AFD"/>
    <w:rsid w:val="00985DC2"/>
    <w:rsid w:val="0098626B"/>
    <w:rsid w:val="00986377"/>
    <w:rsid w:val="00986D4B"/>
    <w:rsid w:val="00986DB5"/>
    <w:rsid w:val="00986F11"/>
    <w:rsid w:val="0098790D"/>
    <w:rsid w:val="009906B4"/>
    <w:rsid w:val="00990B8C"/>
    <w:rsid w:val="00990B8D"/>
    <w:rsid w:val="0099104B"/>
    <w:rsid w:val="0099139D"/>
    <w:rsid w:val="0099207C"/>
    <w:rsid w:val="009920BE"/>
    <w:rsid w:val="0099228C"/>
    <w:rsid w:val="00992347"/>
    <w:rsid w:val="0099288A"/>
    <w:rsid w:val="00992F90"/>
    <w:rsid w:val="00994FD0"/>
    <w:rsid w:val="0099557D"/>
    <w:rsid w:val="00995896"/>
    <w:rsid w:val="00995D23"/>
    <w:rsid w:val="0099669C"/>
    <w:rsid w:val="00997052"/>
    <w:rsid w:val="009970AC"/>
    <w:rsid w:val="00997B6D"/>
    <w:rsid w:val="00997C12"/>
    <w:rsid w:val="009A01BC"/>
    <w:rsid w:val="009A11B9"/>
    <w:rsid w:val="009A19A1"/>
    <w:rsid w:val="009A21D7"/>
    <w:rsid w:val="009A269E"/>
    <w:rsid w:val="009A2F8C"/>
    <w:rsid w:val="009A391C"/>
    <w:rsid w:val="009A3A5F"/>
    <w:rsid w:val="009A3BD9"/>
    <w:rsid w:val="009A408A"/>
    <w:rsid w:val="009A425C"/>
    <w:rsid w:val="009A5012"/>
    <w:rsid w:val="009A50F2"/>
    <w:rsid w:val="009A5BE8"/>
    <w:rsid w:val="009A5F96"/>
    <w:rsid w:val="009A6014"/>
    <w:rsid w:val="009A6306"/>
    <w:rsid w:val="009A6DAD"/>
    <w:rsid w:val="009A6FC8"/>
    <w:rsid w:val="009A799D"/>
    <w:rsid w:val="009B02EF"/>
    <w:rsid w:val="009B08D5"/>
    <w:rsid w:val="009B0922"/>
    <w:rsid w:val="009B0D46"/>
    <w:rsid w:val="009B1F55"/>
    <w:rsid w:val="009B1F9A"/>
    <w:rsid w:val="009B2668"/>
    <w:rsid w:val="009B2B31"/>
    <w:rsid w:val="009B2CE9"/>
    <w:rsid w:val="009B3397"/>
    <w:rsid w:val="009B3D21"/>
    <w:rsid w:val="009B48F8"/>
    <w:rsid w:val="009B5540"/>
    <w:rsid w:val="009B5D40"/>
    <w:rsid w:val="009B6335"/>
    <w:rsid w:val="009B7187"/>
    <w:rsid w:val="009B7213"/>
    <w:rsid w:val="009B7B05"/>
    <w:rsid w:val="009B7F5E"/>
    <w:rsid w:val="009C0DCE"/>
    <w:rsid w:val="009C2B26"/>
    <w:rsid w:val="009C3105"/>
    <w:rsid w:val="009C3535"/>
    <w:rsid w:val="009C38C6"/>
    <w:rsid w:val="009C51FD"/>
    <w:rsid w:val="009C53F9"/>
    <w:rsid w:val="009C586F"/>
    <w:rsid w:val="009C59E2"/>
    <w:rsid w:val="009C5B2A"/>
    <w:rsid w:val="009C5CFE"/>
    <w:rsid w:val="009D0269"/>
    <w:rsid w:val="009D0E47"/>
    <w:rsid w:val="009D164C"/>
    <w:rsid w:val="009D275D"/>
    <w:rsid w:val="009D3593"/>
    <w:rsid w:val="009D35B7"/>
    <w:rsid w:val="009D448C"/>
    <w:rsid w:val="009D45EF"/>
    <w:rsid w:val="009D4D0F"/>
    <w:rsid w:val="009D5B5B"/>
    <w:rsid w:val="009D5F28"/>
    <w:rsid w:val="009D714B"/>
    <w:rsid w:val="009D7ADE"/>
    <w:rsid w:val="009E08F2"/>
    <w:rsid w:val="009E0A61"/>
    <w:rsid w:val="009E115F"/>
    <w:rsid w:val="009E1D69"/>
    <w:rsid w:val="009E232B"/>
    <w:rsid w:val="009E25FD"/>
    <w:rsid w:val="009E264F"/>
    <w:rsid w:val="009E28EE"/>
    <w:rsid w:val="009E3010"/>
    <w:rsid w:val="009E3399"/>
    <w:rsid w:val="009E3706"/>
    <w:rsid w:val="009E3D48"/>
    <w:rsid w:val="009E3E4A"/>
    <w:rsid w:val="009E3FEE"/>
    <w:rsid w:val="009E45FB"/>
    <w:rsid w:val="009E53BE"/>
    <w:rsid w:val="009E5591"/>
    <w:rsid w:val="009E5B02"/>
    <w:rsid w:val="009E653B"/>
    <w:rsid w:val="009E6E88"/>
    <w:rsid w:val="009E6F92"/>
    <w:rsid w:val="009E72AC"/>
    <w:rsid w:val="009E7345"/>
    <w:rsid w:val="009E7817"/>
    <w:rsid w:val="009E7BD1"/>
    <w:rsid w:val="009F007E"/>
    <w:rsid w:val="009F057F"/>
    <w:rsid w:val="009F10E1"/>
    <w:rsid w:val="009F39F6"/>
    <w:rsid w:val="009F42BF"/>
    <w:rsid w:val="009F4A78"/>
    <w:rsid w:val="009F4A8E"/>
    <w:rsid w:val="009F5457"/>
    <w:rsid w:val="009F5BE5"/>
    <w:rsid w:val="009F7065"/>
    <w:rsid w:val="009F7A86"/>
    <w:rsid w:val="009F7FDA"/>
    <w:rsid w:val="00A002D6"/>
    <w:rsid w:val="00A007BF"/>
    <w:rsid w:val="00A01356"/>
    <w:rsid w:val="00A014E3"/>
    <w:rsid w:val="00A01513"/>
    <w:rsid w:val="00A0223F"/>
    <w:rsid w:val="00A024CE"/>
    <w:rsid w:val="00A029BC"/>
    <w:rsid w:val="00A02B56"/>
    <w:rsid w:val="00A04710"/>
    <w:rsid w:val="00A0472D"/>
    <w:rsid w:val="00A04849"/>
    <w:rsid w:val="00A048E3"/>
    <w:rsid w:val="00A051F7"/>
    <w:rsid w:val="00A05319"/>
    <w:rsid w:val="00A05E7C"/>
    <w:rsid w:val="00A05F08"/>
    <w:rsid w:val="00A062C7"/>
    <w:rsid w:val="00A0640F"/>
    <w:rsid w:val="00A06F53"/>
    <w:rsid w:val="00A077EC"/>
    <w:rsid w:val="00A07B56"/>
    <w:rsid w:val="00A1017E"/>
    <w:rsid w:val="00A105EB"/>
    <w:rsid w:val="00A11020"/>
    <w:rsid w:val="00A11863"/>
    <w:rsid w:val="00A119B3"/>
    <w:rsid w:val="00A11A8D"/>
    <w:rsid w:val="00A139BB"/>
    <w:rsid w:val="00A13A77"/>
    <w:rsid w:val="00A13CAF"/>
    <w:rsid w:val="00A14218"/>
    <w:rsid w:val="00A1441A"/>
    <w:rsid w:val="00A14F51"/>
    <w:rsid w:val="00A156FC"/>
    <w:rsid w:val="00A16B44"/>
    <w:rsid w:val="00A16E15"/>
    <w:rsid w:val="00A20116"/>
    <w:rsid w:val="00A20D65"/>
    <w:rsid w:val="00A20E13"/>
    <w:rsid w:val="00A2139A"/>
    <w:rsid w:val="00A21C10"/>
    <w:rsid w:val="00A21FEA"/>
    <w:rsid w:val="00A23103"/>
    <w:rsid w:val="00A2486B"/>
    <w:rsid w:val="00A2491D"/>
    <w:rsid w:val="00A24B9C"/>
    <w:rsid w:val="00A24E09"/>
    <w:rsid w:val="00A251B7"/>
    <w:rsid w:val="00A27587"/>
    <w:rsid w:val="00A27A89"/>
    <w:rsid w:val="00A27BA6"/>
    <w:rsid w:val="00A300B4"/>
    <w:rsid w:val="00A30DE7"/>
    <w:rsid w:val="00A313FE"/>
    <w:rsid w:val="00A318D4"/>
    <w:rsid w:val="00A3192D"/>
    <w:rsid w:val="00A321CC"/>
    <w:rsid w:val="00A3252C"/>
    <w:rsid w:val="00A329CD"/>
    <w:rsid w:val="00A32B82"/>
    <w:rsid w:val="00A330CD"/>
    <w:rsid w:val="00A332F7"/>
    <w:rsid w:val="00A343CE"/>
    <w:rsid w:val="00A345B8"/>
    <w:rsid w:val="00A34B3D"/>
    <w:rsid w:val="00A34EBC"/>
    <w:rsid w:val="00A35D43"/>
    <w:rsid w:val="00A36301"/>
    <w:rsid w:val="00A36783"/>
    <w:rsid w:val="00A3763B"/>
    <w:rsid w:val="00A376A8"/>
    <w:rsid w:val="00A376E2"/>
    <w:rsid w:val="00A3790D"/>
    <w:rsid w:val="00A379F8"/>
    <w:rsid w:val="00A37DF6"/>
    <w:rsid w:val="00A4022B"/>
    <w:rsid w:val="00A4106F"/>
    <w:rsid w:val="00A4175D"/>
    <w:rsid w:val="00A41B3F"/>
    <w:rsid w:val="00A427F7"/>
    <w:rsid w:val="00A42CC3"/>
    <w:rsid w:val="00A435F9"/>
    <w:rsid w:val="00A43B8C"/>
    <w:rsid w:val="00A44932"/>
    <w:rsid w:val="00A479B2"/>
    <w:rsid w:val="00A512D0"/>
    <w:rsid w:val="00A51EBB"/>
    <w:rsid w:val="00A53375"/>
    <w:rsid w:val="00A53464"/>
    <w:rsid w:val="00A53CA8"/>
    <w:rsid w:val="00A53F5B"/>
    <w:rsid w:val="00A5408C"/>
    <w:rsid w:val="00A5456C"/>
    <w:rsid w:val="00A5503C"/>
    <w:rsid w:val="00A5504B"/>
    <w:rsid w:val="00A55400"/>
    <w:rsid w:val="00A55E9B"/>
    <w:rsid w:val="00A5689B"/>
    <w:rsid w:val="00A5699B"/>
    <w:rsid w:val="00A56D99"/>
    <w:rsid w:val="00A56DC7"/>
    <w:rsid w:val="00A5700E"/>
    <w:rsid w:val="00A577E9"/>
    <w:rsid w:val="00A60310"/>
    <w:rsid w:val="00A627FB"/>
    <w:rsid w:val="00A628C4"/>
    <w:rsid w:val="00A62A21"/>
    <w:rsid w:val="00A63332"/>
    <w:rsid w:val="00A63842"/>
    <w:rsid w:val="00A645F1"/>
    <w:rsid w:val="00A64EEA"/>
    <w:rsid w:val="00A650CA"/>
    <w:rsid w:val="00A65922"/>
    <w:rsid w:val="00A65CBC"/>
    <w:rsid w:val="00A6678F"/>
    <w:rsid w:val="00A70CCA"/>
    <w:rsid w:val="00A71048"/>
    <w:rsid w:val="00A715AF"/>
    <w:rsid w:val="00A7182C"/>
    <w:rsid w:val="00A718FA"/>
    <w:rsid w:val="00A725A7"/>
    <w:rsid w:val="00A72E61"/>
    <w:rsid w:val="00A72F18"/>
    <w:rsid w:val="00A73428"/>
    <w:rsid w:val="00A74935"/>
    <w:rsid w:val="00A74C06"/>
    <w:rsid w:val="00A74C94"/>
    <w:rsid w:val="00A74EDC"/>
    <w:rsid w:val="00A74FD1"/>
    <w:rsid w:val="00A75384"/>
    <w:rsid w:val="00A75E81"/>
    <w:rsid w:val="00A76A6A"/>
    <w:rsid w:val="00A76BF8"/>
    <w:rsid w:val="00A77244"/>
    <w:rsid w:val="00A77BFA"/>
    <w:rsid w:val="00A77DAD"/>
    <w:rsid w:val="00A80A2E"/>
    <w:rsid w:val="00A80EFC"/>
    <w:rsid w:val="00A82280"/>
    <w:rsid w:val="00A82631"/>
    <w:rsid w:val="00A82834"/>
    <w:rsid w:val="00A82EA6"/>
    <w:rsid w:val="00A83722"/>
    <w:rsid w:val="00A83809"/>
    <w:rsid w:val="00A83BB8"/>
    <w:rsid w:val="00A83D88"/>
    <w:rsid w:val="00A83E2D"/>
    <w:rsid w:val="00A84124"/>
    <w:rsid w:val="00A84A58"/>
    <w:rsid w:val="00A84F8F"/>
    <w:rsid w:val="00A85465"/>
    <w:rsid w:val="00A85902"/>
    <w:rsid w:val="00A87A47"/>
    <w:rsid w:val="00A87C38"/>
    <w:rsid w:val="00A90839"/>
    <w:rsid w:val="00A915C7"/>
    <w:rsid w:val="00A91DA7"/>
    <w:rsid w:val="00A9281A"/>
    <w:rsid w:val="00A9438E"/>
    <w:rsid w:val="00A95A65"/>
    <w:rsid w:val="00A95BA2"/>
    <w:rsid w:val="00A963D1"/>
    <w:rsid w:val="00A973B0"/>
    <w:rsid w:val="00A978FC"/>
    <w:rsid w:val="00A97E9B"/>
    <w:rsid w:val="00AA03BF"/>
    <w:rsid w:val="00AA17A3"/>
    <w:rsid w:val="00AA18F8"/>
    <w:rsid w:val="00AA1CEA"/>
    <w:rsid w:val="00AA2C40"/>
    <w:rsid w:val="00AA487F"/>
    <w:rsid w:val="00AA4DFC"/>
    <w:rsid w:val="00AA4E1B"/>
    <w:rsid w:val="00AA500C"/>
    <w:rsid w:val="00AA5170"/>
    <w:rsid w:val="00AA670F"/>
    <w:rsid w:val="00AA79FF"/>
    <w:rsid w:val="00AB056F"/>
    <w:rsid w:val="00AB0707"/>
    <w:rsid w:val="00AB0926"/>
    <w:rsid w:val="00AB12F9"/>
    <w:rsid w:val="00AB2A35"/>
    <w:rsid w:val="00AB37A8"/>
    <w:rsid w:val="00AB3B82"/>
    <w:rsid w:val="00AB4A11"/>
    <w:rsid w:val="00AB55D3"/>
    <w:rsid w:val="00AB58A3"/>
    <w:rsid w:val="00AB5E86"/>
    <w:rsid w:val="00AB6232"/>
    <w:rsid w:val="00AB778C"/>
    <w:rsid w:val="00AC03BB"/>
    <w:rsid w:val="00AC03C5"/>
    <w:rsid w:val="00AC061B"/>
    <w:rsid w:val="00AC08F4"/>
    <w:rsid w:val="00AC0DAE"/>
    <w:rsid w:val="00AC11EB"/>
    <w:rsid w:val="00AC1F7C"/>
    <w:rsid w:val="00AC23C0"/>
    <w:rsid w:val="00AC3595"/>
    <w:rsid w:val="00AC3990"/>
    <w:rsid w:val="00AC4535"/>
    <w:rsid w:val="00AC475C"/>
    <w:rsid w:val="00AC4C99"/>
    <w:rsid w:val="00AC5BCB"/>
    <w:rsid w:val="00AC62E6"/>
    <w:rsid w:val="00AC670E"/>
    <w:rsid w:val="00AC6967"/>
    <w:rsid w:val="00AC6A7B"/>
    <w:rsid w:val="00AC71CB"/>
    <w:rsid w:val="00AD111D"/>
    <w:rsid w:val="00AD14CE"/>
    <w:rsid w:val="00AD2928"/>
    <w:rsid w:val="00AD2A35"/>
    <w:rsid w:val="00AD2BC0"/>
    <w:rsid w:val="00AD3372"/>
    <w:rsid w:val="00AD3B53"/>
    <w:rsid w:val="00AD3F68"/>
    <w:rsid w:val="00AD407B"/>
    <w:rsid w:val="00AD439F"/>
    <w:rsid w:val="00AD4DE4"/>
    <w:rsid w:val="00AD5F01"/>
    <w:rsid w:val="00AD6889"/>
    <w:rsid w:val="00AD77A3"/>
    <w:rsid w:val="00AD77E6"/>
    <w:rsid w:val="00AE099C"/>
    <w:rsid w:val="00AE17A8"/>
    <w:rsid w:val="00AE1913"/>
    <w:rsid w:val="00AE2102"/>
    <w:rsid w:val="00AE25F7"/>
    <w:rsid w:val="00AE2A60"/>
    <w:rsid w:val="00AE2AF4"/>
    <w:rsid w:val="00AE2D36"/>
    <w:rsid w:val="00AE2EF4"/>
    <w:rsid w:val="00AE3DC8"/>
    <w:rsid w:val="00AE4D65"/>
    <w:rsid w:val="00AE5141"/>
    <w:rsid w:val="00AE5CF2"/>
    <w:rsid w:val="00AE724F"/>
    <w:rsid w:val="00AE7FAD"/>
    <w:rsid w:val="00AF0480"/>
    <w:rsid w:val="00AF06FC"/>
    <w:rsid w:val="00AF093D"/>
    <w:rsid w:val="00AF0AC9"/>
    <w:rsid w:val="00AF1207"/>
    <w:rsid w:val="00AF1DCC"/>
    <w:rsid w:val="00AF2B6C"/>
    <w:rsid w:val="00AF2C9C"/>
    <w:rsid w:val="00AF30E5"/>
    <w:rsid w:val="00AF3391"/>
    <w:rsid w:val="00AF355F"/>
    <w:rsid w:val="00AF387F"/>
    <w:rsid w:val="00AF40AB"/>
    <w:rsid w:val="00AF42BD"/>
    <w:rsid w:val="00AF5695"/>
    <w:rsid w:val="00AF67BB"/>
    <w:rsid w:val="00AF6B6A"/>
    <w:rsid w:val="00AF6ECE"/>
    <w:rsid w:val="00AF7242"/>
    <w:rsid w:val="00AF7CDB"/>
    <w:rsid w:val="00B00272"/>
    <w:rsid w:val="00B00E7F"/>
    <w:rsid w:val="00B019A1"/>
    <w:rsid w:val="00B01F6C"/>
    <w:rsid w:val="00B021AC"/>
    <w:rsid w:val="00B023B6"/>
    <w:rsid w:val="00B0259C"/>
    <w:rsid w:val="00B03F03"/>
    <w:rsid w:val="00B04989"/>
    <w:rsid w:val="00B04CB0"/>
    <w:rsid w:val="00B0593B"/>
    <w:rsid w:val="00B059F6"/>
    <w:rsid w:val="00B06688"/>
    <w:rsid w:val="00B067BC"/>
    <w:rsid w:val="00B06B1D"/>
    <w:rsid w:val="00B06D4C"/>
    <w:rsid w:val="00B07286"/>
    <w:rsid w:val="00B07780"/>
    <w:rsid w:val="00B07893"/>
    <w:rsid w:val="00B101A8"/>
    <w:rsid w:val="00B10582"/>
    <w:rsid w:val="00B107B0"/>
    <w:rsid w:val="00B107EF"/>
    <w:rsid w:val="00B1142B"/>
    <w:rsid w:val="00B11AC2"/>
    <w:rsid w:val="00B12AEA"/>
    <w:rsid w:val="00B12AF8"/>
    <w:rsid w:val="00B12F1E"/>
    <w:rsid w:val="00B136D2"/>
    <w:rsid w:val="00B139E8"/>
    <w:rsid w:val="00B13F54"/>
    <w:rsid w:val="00B13F5D"/>
    <w:rsid w:val="00B14103"/>
    <w:rsid w:val="00B14ED0"/>
    <w:rsid w:val="00B15963"/>
    <w:rsid w:val="00B169D0"/>
    <w:rsid w:val="00B173DA"/>
    <w:rsid w:val="00B176B6"/>
    <w:rsid w:val="00B17EE4"/>
    <w:rsid w:val="00B20549"/>
    <w:rsid w:val="00B2192B"/>
    <w:rsid w:val="00B21DCC"/>
    <w:rsid w:val="00B22AC7"/>
    <w:rsid w:val="00B23492"/>
    <w:rsid w:val="00B236F0"/>
    <w:rsid w:val="00B23AE4"/>
    <w:rsid w:val="00B23CA5"/>
    <w:rsid w:val="00B23F41"/>
    <w:rsid w:val="00B23F7E"/>
    <w:rsid w:val="00B24651"/>
    <w:rsid w:val="00B24C75"/>
    <w:rsid w:val="00B25206"/>
    <w:rsid w:val="00B25B15"/>
    <w:rsid w:val="00B25F37"/>
    <w:rsid w:val="00B30715"/>
    <w:rsid w:val="00B30BD3"/>
    <w:rsid w:val="00B327CD"/>
    <w:rsid w:val="00B33BFE"/>
    <w:rsid w:val="00B33F79"/>
    <w:rsid w:val="00B3490F"/>
    <w:rsid w:val="00B34D44"/>
    <w:rsid w:val="00B3540F"/>
    <w:rsid w:val="00B35691"/>
    <w:rsid w:val="00B358C7"/>
    <w:rsid w:val="00B364C7"/>
    <w:rsid w:val="00B36689"/>
    <w:rsid w:val="00B3682B"/>
    <w:rsid w:val="00B36955"/>
    <w:rsid w:val="00B36A36"/>
    <w:rsid w:val="00B37BF0"/>
    <w:rsid w:val="00B40BC8"/>
    <w:rsid w:val="00B40E46"/>
    <w:rsid w:val="00B4117D"/>
    <w:rsid w:val="00B4142D"/>
    <w:rsid w:val="00B414EF"/>
    <w:rsid w:val="00B41E94"/>
    <w:rsid w:val="00B42841"/>
    <w:rsid w:val="00B428C9"/>
    <w:rsid w:val="00B429B6"/>
    <w:rsid w:val="00B42CBF"/>
    <w:rsid w:val="00B43494"/>
    <w:rsid w:val="00B439BF"/>
    <w:rsid w:val="00B43B2A"/>
    <w:rsid w:val="00B44422"/>
    <w:rsid w:val="00B4449C"/>
    <w:rsid w:val="00B44897"/>
    <w:rsid w:val="00B44B3A"/>
    <w:rsid w:val="00B459AB"/>
    <w:rsid w:val="00B45AA5"/>
    <w:rsid w:val="00B4694B"/>
    <w:rsid w:val="00B46A42"/>
    <w:rsid w:val="00B46EA0"/>
    <w:rsid w:val="00B4772B"/>
    <w:rsid w:val="00B502B2"/>
    <w:rsid w:val="00B50644"/>
    <w:rsid w:val="00B508EE"/>
    <w:rsid w:val="00B50E74"/>
    <w:rsid w:val="00B51847"/>
    <w:rsid w:val="00B51CC7"/>
    <w:rsid w:val="00B528BF"/>
    <w:rsid w:val="00B53089"/>
    <w:rsid w:val="00B538B0"/>
    <w:rsid w:val="00B548D2"/>
    <w:rsid w:val="00B54A14"/>
    <w:rsid w:val="00B54C7B"/>
    <w:rsid w:val="00B565C0"/>
    <w:rsid w:val="00B57227"/>
    <w:rsid w:val="00B614E2"/>
    <w:rsid w:val="00B6152C"/>
    <w:rsid w:val="00B61BD3"/>
    <w:rsid w:val="00B61ED8"/>
    <w:rsid w:val="00B62038"/>
    <w:rsid w:val="00B62102"/>
    <w:rsid w:val="00B62A40"/>
    <w:rsid w:val="00B6343F"/>
    <w:rsid w:val="00B636F0"/>
    <w:rsid w:val="00B63E16"/>
    <w:rsid w:val="00B6574B"/>
    <w:rsid w:val="00B66226"/>
    <w:rsid w:val="00B662A4"/>
    <w:rsid w:val="00B66AFD"/>
    <w:rsid w:val="00B67748"/>
    <w:rsid w:val="00B67BE2"/>
    <w:rsid w:val="00B701CB"/>
    <w:rsid w:val="00B704D3"/>
    <w:rsid w:val="00B705C0"/>
    <w:rsid w:val="00B70FCE"/>
    <w:rsid w:val="00B71260"/>
    <w:rsid w:val="00B71E23"/>
    <w:rsid w:val="00B72211"/>
    <w:rsid w:val="00B731D3"/>
    <w:rsid w:val="00B731F8"/>
    <w:rsid w:val="00B73218"/>
    <w:rsid w:val="00B73557"/>
    <w:rsid w:val="00B73681"/>
    <w:rsid w:val="00B73A9D"/>
    <w:rsid w:val="00B7518E"/>
    <w:rsid w:val="00B76B1C"/>
    <w:rsid w:val="00B77342"/>
    <w:rsid w:val="00B80328"/>
    <w:rsid w:val="00B809A8"/>
    <w:rsid w:val="00B81C4F"/>
    <w:rsid w:val="00B824F8"/>
    <w:rsid w:val="00B826C1"/>
    <w:rsid w:val="00B826E9"/>
    <w:rsid w:val="00B83179"/>
    <w:rsid w:val="00B839A3"/>
    <w:rsid w:val="00B83CDF"/>
    <w:rsid w:val="00B84076"/>
    <w:rsid w:val="00B84A5A"/>
    <w:rsid w:val="00B853A5"/>
    <w:rsid w:val="00B85CCF"/>
    <w:rsid w:val="00B864CE"/>
    <w:rsid w:val="00B864E9"/>
    <w:rsid w:val="00B866C9"/>
    <w:rsid w:val="00B8706D"/>
    <w:rsid w:val="00B870E4"/>
    <w:rsid w:val="00B87FB7"/>
    <w:rsid w:val="00B90133"/>
    <w:rsid w:val="00B902BD"/>
    <w:rsid w:val="00B902E4"/>
    <w:rsid w:val="00B907BC"/>
    <w:rsid w:val="00B90A05"/>
    <w:rsid w:val="00B90B6A"/>
    <w:rsid w:val="00B90FA4"/>
    <w:rsid w:val="00B91602"/>
    <w:rsid w:val="00B91BFE"/>
    <w:rsid w:val="00B91F97"/>
    <w:rsid w:val="00B9281D"/>
    <w:rsid w:val="00B9347C"/>
    <w:rsid w:val="00B93B1E"/>
    <w:rsid w:val="00B94795"/>
    <w:rsid w:val="00B95BAC"/>
    <w:rsid w:val="00B9623E"/>
    <w:rsid w:val="00B96257"/>
    <w:rsid w:val="00B967DC"/>
    <w:rsid w:val="00B96CFF"/>
    <w:rsid w:val="00BA019C"/>
    <w:rsid w:val="00BA0CE0"/>
    <w:rsid w:val="00BA1BF6"/>
    <w:rsid w:val="00BA24E2"/>
    <w:rsid w:val="00BA25CB"/>
    <w:rsid w:val="00BA2C38"/>
    <w:rsid w:val="00BA306D"/>
    <w:rsid w:val="00BA3829"/>
    <w:rsid w:val="00BA3903"/>
    <w:rsid w:val="00BA44AC"/>
    <w:rsid w:val="00BA4BFF"/>
    <w:rsid w:val="00BA50FE"/>
    <w:rsid w:val="00BA593E"/>
    <w:rsid w:val="00BA5D43"/>
    <w:rsid w:val="00BA6637"/>
    <w:rsid w:val="00BA6ADF"/>
    <w:rsid w:val="00BA7450"/>
    <w:rsid w:val="00BA7F30"/>
    <w:rsid w:val="00BB026A"/>
    <w:rsid w:val="00BB0CF9"/>
    <w:rsid w:val="00BB1025"/>
    <w:rsid w:val="00BB1C11"/>
    <w:rsid w:val="00BB1D1D"/>
    <w:rsid w:val="00BB1E41"/>
    <w:rsid w:val="00BB2053"/>
    <w:rsid w:val="00BB269D"/>
    <w:rsid w:val="00BB2AB8"/>
    <w:rsid w:val="00BB3ED9"/>
    <w:rsid w:val="00BB4821"/>
    <w:rsid w:val="00BB52B7"/>
    <w:rsid w:val="00BB5FBB"/>
    <w:rsid w:val="00BB64BC"/>
    <w:rsid w:val="00BB77BB"/>
    <w:rsid w:val="00BC0F9B"/>
    <w:rsid w:val="00BC110B"/>
    <w:rsid w:val="00BC156E"/>
    <w:rsid w:val="00BC268C"/>
    <w:rsid w:val="00BC2728"/>
    <w:rsid w:val="00BC3E37"/>
    <w:rsid w:val="00BC3F85"/>
    <w:rsid w:val="00BC462A"/>
    <w:rsid w:val="00BC4709"/>
    <w:rsid w:val="00BC4B83"/>
    <w:rsid w:val="00BC4DB5"/>
    <w:rsid w:val="00BC6786"/>
    <w:rsid w:val="00BC7116"/>
    <w:rsid w:val="00BC789C"/>
    <w:rsid w:val="00BD17C2"/>
    <w:rsid w:val="00BD17E5"/>
    <w:rsid w:val="00BD1F3C"/>
    <w:rsid w:val="00BD298F"/>
    <w:rsid w:val="00BD2A39"/>
    <w:rsid w:val="00BD2E80"/>
    <w:rsid w:val="00BD3B57"/>
    <w:rsid w:val="00BD42A3"/>
    <w:rsid w:val="00BD47FB"/>
    <w:rsid w:val="00BD5737"/>
    <w:rsid w:val="00BD6063"/>
    <w:rsid w:val="00BD6808"/>
    <w:rsid w:val="00BD6CEF"/>
    <w:rsid w:val="00BD6E74"/>
    <w:rsid w:val="00BD72C1"/>
    <w:rsid w:val="00BD7810"/>
    <w:rsid w:val="00BE0007"/>
    <w:rsid w:val="00BE1095"/>
    <w:rsid w:val="00BE11B8"/>
    <w:rsid w:val="00BE23E0"/>
    <w:rsid w:val="00BE2D39"/>
    <w:rsid w:val="00BE321C"/>
    <w:rsid w:val="00BE3D85"/>
    <w:rsid w:val="00BE4404"/>
    <w:rsid w:val="00BE4568"/>
    <w:rsid w:val="00BE46EA"/>
    <w:rsid w:val="00BE4BFD"/>
    <w:rsid w:val="00BE5175"/>
    <w:rsid w:val="00BE5FA1"/>
    <w:rsid w:val="00BE6150"/>
    <w:rsid w:val="00BE633D"/>
    <w:rsid w:val="00BE7505"/>
    <w:rsid w:val="00BE7832"/>
    <w:rsid w:val="00BE7859"/>
    <w:rsid w:val="00BF002B"/>
    <w:rsid w:val="00BF185E"/>
    <w:rsid w:val="00BF2645"/>
    <w:rsid w:val="00BF30C3"/>
    <w:rsid w:val="00BF3148"/>
    <w:rsid w:val="00BF31E2"/>
    <w:rsid w:val="00BF3A52"/>
    <w:rsid w:val="00BF3D08"/>
    <w:rsid w:val="00BF4531"/>
    <w:rsid w:val="00BF4D5D"/>
    <w:rsid w:val="00BF4F9C"/>
    <w:rsid w:val="00BF5697"/>
    <w:rsid w:val="00BF636F"/>
    <w:rsid w:val="00BF63DE"/>
    <w:rsid w:val="00BF6463"/>
    <w:rsid w:val="00BF65EA"/>
    <w:rsid w:val="00BF66E6"/>
    <w:rsid w:val="00BF6F72"/>
    <w:rsid w:val="00BF74B1"/>
    <w:rsid w:val="00BF7B15"/>
    <w:rsid w:val="00BF7B6A"/>
    <w:rsid w:val="00BF7FF0"/>
    <w:rsid w:val="00C002D9"/>
    <w:rsid w:val="00C0162E"/>
    <w:rsid w:val="00C021CF"/>
    <w:rsid w:val="00C023D4"/>
    <w:rsid w:val="00C0257B"/>
    <w:rsid w:val="00C025DD"/>
    <w:rsid w:val="00C02F4B"/>
    <w:rsid w:val="00C03228"/>
    <w:rsid w:val="00C03612"/>
    <w:rsid w:val="00C04B45"/>
    <w:rsid w:val="00C04DE5"/>
    <w:rsid w:val="00C0523B"/>
    <w:rsid w:val="00C057F4"/>
    <w:rsid w:val="00C06C55"/>
    <w:rsid w:val="00C075F2"/>
    <w:rsid w:val="00C07685"/>
    <w:rsid w:val="00C0769E"/>
    <w:rsid w:val="00C07E3D"/>
    <w:rsid w:val="00C1091B"/>
    <w:rsid w:val="00C10E58"/>
    <w:rsid w:val="00C118A7"/>
    <w:rsid w:val="00C11A91"/>
    <w:rsid w:val="00C11B3F"/>
    <w:rsid w:val="00C1248A"/>
    <w:rsid w:val="00C12502"/>
    <w:rsid w:val="00C12D0D"/>
    <w:rsid w:val="00C13740"/>
    <w:rsid w:val="00C143A4"/>
    <w:rsid w:val="00C14CF1"/>
    <w:rsid w:val="00C15EEF"/>
    <w:rsid w:val="00C16AE8"/>
    <w:rsid w:val="00C16DC2"/>
    <w:rsid w:val="00C16E1E"/>
    <w:rsid w:val="00C17077"/>
    <w:rsid w:val="00C1741F"/>
    <w:rsid w:val="00C20B4D"/>
    <w:rsid w:val="00C20BBB"/>
    <w:rsid w:val="00C20EF2"/>
    <w:rsid w:val="00C211A2"/>
    <w:rsid w:val="00C21E76"/>
    <w:rsid w:val="00C22571"/>
    <w:rsid w:val="00C2357C"/>
    <w:rsid w:val="00C23F4F"/>
    <w:rsid w:val="00C24849"/>
    <w:rsid w:val="00C248F6"/>
    <w:rsid w:val="00C25456"/>
    <w:rsid w:val="00C25B95"/>
    <w:rsid w:val="00C25C90"/>
    <w:rsid w:val="00C26289"/>
    <w:rsid w:val="00C26D10"/>
    <w:rsid w:val="00C30E6B"/>
    <w:rsid w:val="00C31E81"/>
    <w:rsid w:val="00C31F41"/>
    <w:rsid w:val="00C32D54"/>
    <w:rsid w:val="00C33371"/>
    <w:rsid w:val="00C33DB4"/>
    <w:rsid w:val="00C33F24"/>
    <w:rsid w:val="00C341E7"/>
    <w:rsid w:val="00C34586"/>
    <w:rsid w:val="00C347D0"/>
    <w:rsid w:val="00C348AE"/>
    <w:rsid w:val="00C3515E"/>
    <w:rsid w:val="00C35286"/>
    <w:rsid w:val="00C3599D"/>
    <w:rsid w:val="00C36272"/>
    <w:rsid w:val="00C36578"/>
    <w:rsid w:val="00C36BE9"/>
    <w:rsid w:val="00C3726A"/>
    <w:rsid w:val="00C37C57"/>
    <w:rsid w:val="00C40489"/>
    <w:rsid w:val="00C40AA5"/>
    <w:rsid w:val="00C40D0B"/>
    <w:rsid w:val="00C40D45"/>
    <w:rsid w:val="00C41A57"/>
    <w:rsid w:val="00C428C4"/>
    <w:rsid w:val="00C42B1B"/>
    <w:rsid w:val="00C43218"/>
    <w:rsid w:val="00C437C6"/>
    <w:rsid w:val="00C43CF1"/>
    <w:rsid w:val="00C43CF9"/>
    <w:rsid w:val="00C43EEF"/>
    <w:rsid w:val="00C441B9"/>
    <w:rsid w:val="00C44549"/>
    <w:rsid w:val="00C463F6"/>
    <w:rsid w:val="00C46620"/>
    <w:rsid w:val="00C466E8"/>
    <w:rsid w:val="00C46C5C"/>
    <w:rsid w:val="00C46F70"/>
    <w:rsid w:val="00C470D2"/>
    <w:rsid w:val="00C472F3"/>
    <w:rsid w:val="00C476D0"/>
    <w:rsid w:val="00C47ACC"/>
    <w:rsid w:val="00C500B4"/>
    <w:rsid w:val="00C50DD6"/>
    <w:rsid w:val="00C51CD2"/>
    <w:rsid w:val="00C534AD"/>
    <w:rsid w:val="00C536FC"/>
    <w:rsid w:val="00C54DCD"/>
    <w:rsid w:val="00C54E45"/>
    <w:rsid w:val="00C5545F"/>
    <w:rsid w:val="00C56035"/>
    <w:rsid w:val="00C56140"/>
    <w:rsid w:val="00C567A1"/>
    <w:rsid w:val="00C56B33"/>
    <w:rsid w:val="00C57A3C"/>
    <w:rsid w:val="00C57D5B"/>
    <w:rsid w:val="00C605A1"/>
    <w:rsid w:val="00C61822"/>
    <w:rsid w:val="00C61AC1"/>
    <w:rsid w:val="00C62521"/>
    <w:rsid w:val="00C62A1A"/>
    <w:rsid w:val="00C62BFC"/>
    <w:rsid w:val="00C64B89"/>
    <w:rsid w:val="00C64BAF"/>
    <w:rsid w:val="00C64F1D"/>
    <w:rsid w:val="00C651A3"/>
    <w:rsid w:val="00C65257"/>
    <w:rsid w:val="00C672A4"/>
    <w:rsid w:val="00C67AE6"/>
    <w:rsid w:val="00C67CBE"/>
    <w:rsid w:val="00C70C88"/>
    <w:rsid w:val="00C7161F"/>
    <w:rsid w:val="00C73AB4"/>
    <w:rsid w:val="00C742DE"/>
    <w:rsid w:val="00C751FD"/>
    <w:rsid w:val="00C755E3"/>
    <w:rsid w:val="00C7636D"/>
    <w:rsid w:val="00C773AB"/>
    <w:rsid w:val="00C77768"/>
    <w:rsid w:val="00C77AC9"/>
    <w:rsid w:val="00C809C5"/>
    <w:rsid w:val="00C80A46"/>
    <w:rsid w:val="00C8167F"/>
    <w:rsid w:val="00C817BC"/>
    <w:rsid w:val="00C81F42"/>
    <w:rsid w:val="00C821B0"/>
    <w:rsid w:val="00C82B87"/>
    <w:rsid w:val="00C83582"/>
    <w:rsid w:val="00C836E3"/>
    <w:rsid w:val="00C84101"/>
    <w:rsid w:val="00C84BB2"/>
    <w:rsid w:val="00C8512F"/>
    <w:rsid w:val="00C8549B"/>
    <w:rsid w:val="00C85984"/>
    <w:rsid w:val="00C85CA5"/>
    <w:rsid w:val="00C85E15"/>
    <w:rsid w:val="00C8606E"/>
    <w:rsid w:val="00C86205"/>
    <w:rsid w:val="00C86441"/>
    <w:rsid w:val="00C86577"/>
    <w:rsid w:val="00C86F4A"/>
    <w:rsid w:val="00C871EE"/>
    <w:rsid w:val="00C877D3"/>
    <w:rsid w:val="00C90567"/>
    <w:rsid w:val="00C90740"/>
    <w:rsid w:val="00C90A71"/>
    <w:rsid w:val="00C912A2"/>
    <w:rsid w:val="00C9143C"/>
    <w:rsid w:val="00C917C6"/>
    <w:rsid w:val="00C91BD2"/>
    <w:rsid w:val="00C9222E"/>
    <w:rsid w:val="00C9224A"/>
    <w:rsid w:val="00C92CBA"/>
    <w:rsid w:val="00C92E07"/>
    <w:rsid w:val="00C939D3"/>
    <w:rsid w:val="00C939E9"/>
    <w:rsid w:val="00C93C07"/>
    <w:rsid w:val="00C94150"/>
    <w:rsid w:val="00C9462E"/>
    <w:rsid w:val="00C94725"/>
    <w:rsid w:val="00C94D8A"/>
    <w:rsid w:val="00C94E07"/>
    <w:rsid w:val="00C95025"/>
    <w:rsid w:val="00C95D2E"/>
    <w:rsid w:val="00C962DF"/>
    <w:rsid w:val="00C96503"/>
    <w:rsid w:val="00C96868"/>
    <w:rsid w:val="00C9739E"/>
    <w:rsid w:val="00C975DB"/>
    <w:rsid w:val="00C975ED"/>
    <w:rsid w:val="00C97660"/>
    <w:rsid w:val="00C97E81"/>
    <w:rsid w:val="00CA0416"/>
    <w:rsid w:val="00CA0911"/>
    <w:rsid w:val="00CA10D1"/>
    <w:rsid w:val="00CA1F94"/>
    <w:rsid w:val="00CA2ABA"/>
    <w:rsid w:val="00CA32D0"/>
    <w:rsid w:val="00CA59DA"/>
    <w:rsid w:val="00CA641D"/>
    <w:rsid w:val="00CA67C8"/>
    <w:rsid w:val="00CA6AB9"/>
    <w:rsid w:val="00CA6E0E"/>
    <w:rsid w:val="00CA7E67"/>
    <w:rsid w:val="00CB093B"/>
    <w:rsid w:val="00CB0E57"/>
    <w:rsid w:val="00CB0F7C"/>
    <w:rsid w:val="00CB1D06"/>
    <w:rsid w:val="00CB1D3E"/>
    <w:rsid w:val="00CB20E6"/>
    <w:rsid w:val="00CB297C"/>
    <w:rsid w:val="00CB338C"/>
    <w:rsid w:val="00CB3F09"/>
    <w:rsid w:val="00CB4152"/>
    <w:rsid w:val="00CB5208"/>
    <w:rsid w:val="00CB5934"/>
    <w:rsid w:val="00CB593B"/>
    <w:rsid w:val="00CB5E49"/>
    <w:rsid w:val="00CB602F"/>
    <w:rsid w:val="00CB7244"/>
    <w:rsid w:val="00CB7894"/>
    <w:rsid w:val="00CB7B92"/>
    <w:rsid w:val="00CC0131"/>
    <w:rsid w:val="00CC0C53"/>
    <w:rsid w:val="00CC1965"/>
    <w:rsid w:val="00CC1E93"/>
    <w:rsid w:val="00CC20D1"/>
    <w:rsid w:val="00CC21AC"/>
    <w:rsid w:val="00CC2216"/>
    <w:rsid w:val="00CC2271"/>
    <w:rsid w:val="00CC2611"/>
    <w:rsid w:val="00CC270D"/>
    <w:rsid w:val="00CC2AED"/>
    <w:rsid w:val="00CC3447"/>
    <w:rsid w:val="00CC3B0B"/>
    <w:rsid w:val="00CC560B"/>
    <w:rsid w:val="00CC601B"/>
    <w:rsid w:val="00CC6F36"/>
    <w:rsid w:val="00CC7216"/>
    <w:rsid w:val="00CC724C"/>
    <w:rsid w:val="00CC75E2"/>
    <w:rsid w:val="00CC7A3B"/>
    <w:rsid w:val="00CD03BD"/>
    <w:rsid w:val="00CD0403"/>
    <w:rsid w:val="00CD0694"/>
    <w:rsid w:val="00CD0825"/>
    <w:rsid w:val="00CD173A"/>
    <w:rsid w:val="00CD220D"/>
    <w:rsid w:val="00CD2299"/>
    <w:rsid w:val="00CD317F"/>
    <w:rsid w:val="00CD3356"/>
    <w:rsid w:val="00CD33CA"/>
    <w:rsid w:val="00CD3728"/>
    <w:rsid w:val="00CD374D"/>
    <w:rsid w:val="00CD3937"/>
    <w:rsid w:val="00CD46EB"/>
    <w:rsid w:val="00CD48E2"/>
    <w:rsid w:val="00CD4F1E"/>
    <w:rsid w:val="00CD6385"/>
    <w:rsid w:val="00CD6F6E"/>
    <w:rsid w:val="00CD702A"/>
    <w:rsid w:val="00CD7B7D"/>
    <w:rsid w:val="00CD7C9A"/>
    <w:rsid w:val="00CD7EBF"/>
    <w:rsid w:val="00CE0AC2"/>
    <w:rsid w:val="00CE15CA"/>
    <w:rsid w:val="00CE16DF"/>
    <w:rsid w:val="00CE1932"/>
    <w:rsid w:val="00CE204D"/>
    <w:rsid w:val="00CE30DC"/>
    <w:rsid w:val="00CE4293"/>
    <w:rsid w:val="00CE47A5"/>
    <w:rsid w:val="00CE4998"/>
    <w:rsid w:val="00CE50F6"/>
    <w:rsid w:val="00CE5580"/>
    <w:rsid w:val="00CE5943"/>
    <w:rsid w:val="00CE6196"/>
    <w:rsid w:val="00CE71DF"/>
    <w:rsid w:val="00CE7FD9"/>
    <w:rsid w:val="00CE7FDF"/>
    <w:rsid w:val="00CF0B63"/>
    <w:rsid w:val="00CF1ABF"/>
    <w:rsid w:val="00CF2168"/>
    <w:rsid w:val="00CF2469"/>
    <w:rsid w:val="00CF2D72"/>
    <w:rsid w:val="00CF3811"/>
    <w:rsid w:val="00CF3ACF"/>
    <w:rsid w:val="00CF3F83"/>
    <w:rsid w:val="00CF4BF2"/>
    <w:rsid w:val="00CF4E69"/>
    <w:rsid w:val="00CF58A6"/>
    <w:rsid w:val="00CF5E4C"/>
    <w:rsid w:val="00CF6AA3"/>
    <w:rsid w:val="00CF7B45"/>
    <w:rsid w:val="00CF7BBB"/>
    <w:rsid w:val="00CF7CD7"/>
    <w:rsid w:val="00CF7EF1"/>
    <w:rsid w:val="00D0184F"/>
    <w:rsid w:val="00D01A0B"/>
    <w:rsid w:val="00D02263"/>
    <w:rsid w:val="00D027AC"/>
    <w:rsid w:val="00D02FFC"/>
    <w:rsid w:val="00D032C0"/>
    <w:rsid w:val="00D03478"/>
    <w:rsid w:val="00D03D79"/>
    <w:rsid w:val="00D054E1"/>
    <w:rsid w:val="00D056F1"/>
    <w:rsid w:val="00D06127"/>
    <w:rsid w:val="00D06533"/>
    <w:rsid w:val="00D06667"/>
    <w:rsid w:val="00D10932"/>
    <w:rsid w:val="00D11171"/>
    <w:rsid w:val="00D11259"/>
    <w:rsid w:val="00D11893"/>
    <w:rsid w:val="00D12045"/>
    <w:rsid w:val="00D1210C"/>
    <w:rsid w:val="00D1449F"/>
    <w:rsid w:val="00D14C50"/>
    <w:rsid w:val="00D14D4B"/>
    <w:rsid w:val="00D14D8B"/>
    <w:rsid w:val="00D14DA6"/>
    <w:rsid w:val="00D15586"/>
    <w:rsid w:val="00D1611A"/>
    <w:rsid w:val="00D163B5"/>
    <w:rsid w:val="00D165AF"/>
    <w:rsid w:val="00D16EF6"/>
    <w:rsid w:val="00D16FBA"/>
    <w:rsid w:val="00D17133"/>
    <w:rsid w:val="00D17F28"/>
    <w:rsid w:val="00D200E7"/>
    <w:rsid w:val="00D20CE0"/>
    <w:rsid w:val="00D2146D"/>
    <w:rsid w:val="00D2193A"/>
    <w:rsid w:val="00D22266"/>
    <w:rsid w:val="00D22B65"/>
    <w:rsid w:val="00D22DF0"/>
    <w:rsid w:val="00D22F3C"/>
    <w:rsid w:val="00D2305C"/>
    <w:rsid w:val="00D237B1"/>
    <w:rsid w:val="00D23DB6"/>
    <w:rsid w:val="00D24061"/>
    <w:rsid w:val="00D244D8"/>
    <w:rsid w:val="00D247C3"/>
    <w:rsid w:val="00D256A1"/>
    <w:rsid w:val="00D258C6"/>
    <w:rsid w:val="00D259D7"/>
    <w:rsid w:val="00D26031"/>
    <w:rsid w:val="00D26045"/>
    <w:rsid w:val="00D2749F"/>
    <w:rsid w:val="00D274F6"/>
    <w:rsid w:val="00D27FF0"/>
    <w:rsid w:val="00D30581"/>
    <w:rsid w:val="00D3064D"/>
    <w:rsid w:val="00D30E2A"/>
    <w:rsid w:val="00D312A8"/>
    <w:rsid w:val="00D312D3"/>
    <w:rsid w:val="00D315E5"/>
    <w:rsid w:val="00D31CF8"/>
    <w:rsid w:val="00D326A8"/>
    <w:rsid w:val="00D32708"/>
    <w:rsid w:val="00D32B80"/>
    <w:rsid w:val="00D32ED4"/>
    <w:rsid w:val="00D35CA1"/>
    <w:rsid w:val="00D36F02"/>
    <w:rsid w:val="00D3729C"/>
    <w:rsid w:val="00D374C9"/>
    <w:rsid w:val="00D376D9"/>
    <w:rsid w:val="00D40474"/>
    <w:rsid w:val="00D405A7"/>
    <w:rsid w:val="00D40A4F"/>
    <w:rsid w:val="00D41042"/>
    <w:rsid w:val="00D42192"/>
    <w:rsid w:val="00D423D1"/>
    <w:rsid w:val="00D4319E"/>
    <w:rsid w:val="00D439BF"/>
    <w:rsid w:val="00D43DD6"/>
    <w:rsid w:val="00D43FAA"/>
    <w:rsid w:val="00D43FE6"/>
    <w:rsid w:val="00D440C7"/>
    <w:rsid w:val="00D44979"/>
    <w:rsid w:val="00D4531A"/>
    <w:rsid w:val="00D45A18"/>
    <w:rsid w:val="00D46317"/>
    <w:rsid w:val="00D46A49"/>
    <w:rsid w:val="00D46FB3"/>
    <w:rsid w:val="00D47156"/>
    <w:rsid w:val="00D47CFB"/>
    <w:rsid w:val="00D5038E"/>
    <w:rsid w:val="00D50C18"/>
    <w:rsid w:val="00D5136B"/>
    <w:rsid w:val="00D51A95"/>
    <w:rsid w:val="00D52C7B"/>
    <w:rsid w:val="00D5366A"/>
    <w:rsid w:val="00D54538"/>
    <w:rsid w:val="00D54A75"/>
    <w:rsid w:val="00D55270"/>
    <w:rsid w:val="00D559F0"/>
    <w:rsid w:val="00D55CA6"/>
    <w:rsid w:val="00D560BC"/>
    <w:rsid w:val="00D56E25"/>
    <w:rsid w:val="00D5709B"/>
    <w:rsid w:val="00D602E7"/>
    <w:rsid w:val="00D60568"/>
    <w:rsid w:val="00D6138C"/>
    <w:rsid w:val="00D626F8"/>
    <w:rsid w:val="00D63610"/>
    <w:rsid w:val="00D638A1"/>
    <w:rsid w:val="00D64361"/>
    <w:rsid w:val="00D647BD"/>
    <w:rsid w:val="00D64B40"/>
    <w:rsid w:val="00D652B1"/>
    <w:rsid w:val="00D659FC"/>
    <w:rsid w:val="00D65DB4"/>
    <w:rsid w:val="00D663E3"/>
    <w:rsid w:val="00D669F9"/>
    <w:rsid w:val="00D670A6"/>
    <w:rsid w:val="00D671E2"/>
    <w:rsid w:val="00D6798E"/>
    <w:rsid w:val="00D70C7A"/>
    <w:rsid w:val="00D70FA4"/>
    <w:rsid w:val="00D71019"/>
    <w:rsid w:val="00D71853"/>
    <w:rsid w:val="00D727B2"/>
    <w:rsid w:val="00D73B17"/>
    <w:rsid w:val="00D7418F"/>
    <w:rsid w:val="00D741A4"/>
    <w:rsid w:val="00D749BB"/>
    <w:rsid w:val="00D7625B"/>
    <w:rsid w:val="00D7674B"/>
    <w:rsid w:val="00D769DF"/>
    <w:rsid w:val="00D76A93"/>
    <w:rsid w:val="00D77057"/>
    <w:rsid w:val="00D775B1"/>
    <w:rsid w:val="00D81123"/>
    <w:rsid w:val="00D819E9"/>
    <w:rsid w:val="00D81C2D"/>
    <w:rsid w:val="00D81D38"/>
    <w:rsid w:val="00D81E29"/>
    <w:rsid w:val="00D826F4"/>
    <w:rsid w:val="00D82C0F"/>
    <w:rsid w:val="00D8342C"/>
    <w:rsid w:val="00D839E0"/>
    <w:rsid w:val="00D84528"/>
    <w:rsid w:val="00D8576B"/>
    <w:rsid w:val="00D85A67"/>
    <w:rsid w:val="00D85B32"/>
    <w:rsid w:val="00D85DF6"/>
    <w:rsid w:val="00D86161"/>
    <w:rsid w:val="00D863DC"/>
    <w:rsid w:val="00D87033"/>
    <w:rsid w:val="00D87291"/>
    <w:rsid w:val="00D876EC"/>
    <w:rsid w:val="00D87E4B"/>
    <w:rsid w:val="00D908B4"/>
    <w:rsid w:val="00D908C7"/>
    <w:rsid w:val="00D90CED"/>
    <w:rsid w:val="00D90F7A"/>
    <w:rsid w:val="00D913E2"/>
    <w:rsid w:val="00D91A61"/>
    <w:rsid w:val="00D92349"/>
    <w:rsid w:val="00D92AC8"/>
    <w:rsid w:val="00D93301"/>
    <w:rsid w:val="00D93625"/>
    <w:rsid w:val="00D9412E"/>
    <w:rsid w:val="00D94782"/>
    <w:rsid w:val="00D94C33"/>
    <w:rsid w:val="00D94F54"/>
    <w:rsid w:val="00D9620E"/>
    <w:rsid w:val="00D969BF"/>
    <w:rsid w:val="00D97B13"/>
    <w:rsid w:val="00D97FA1"/>
    <w:rsid w:val="00DA0240"/>
    <w:rsid w:val="00DA025B"/>
    <w:rsid w:val="00DA047D"/>
    <w:rsid w:val="00DA06CD"/>
    <w:rsid w:val="00DA0B9D"/>
    <w:rsid w:val="00DA0E7B"/>
    <w:rsid w:val="00DA0F30"/>
    <w:rsid w:val="00DA10A8"/>
    <w:rsid w:val="00DA117C"/>
    <w:rsid w:val="00DA26E9"/>
    <w:rsid w:val="00DA2F99"/>
    <w:rsid w:val="00DA348A"/>
    <w:rsid w:val="00DA3FEF"/>
    <w:rsid w:val="00DA4B5E"/>
    <w:rsid w:val="00DA5213"/>
    <w:rsid w:val="00DA689C"/>
    <w:rsid w:val="00DA68AB"/>
    <w:rsid w:val="00DA6BFE"/>
    <w:rsid w:val="00DA6C82"/>
    <w:rsid w:val="00DA721C"/>
    <w:rsid w:val="00DA7C0B"/>
    <w:rsid w:val="00DB05EF"/>
    <w:rsid w:val="00DB07B0"/>
    <w:rsid w:val="00DB12BB"/>
    <w:rsid w:val="00DB1456"/>
    <w:rsid w:val="00DB16D0"/>
    <w:rsid w:val="00DB1C3F"/>
    <w:rsid w:val="00DB1E08"/>
    <w:rsid w:val="00DB2973"/>
    <w:rsid w:val="00DB2C7F"/>
    <w:rsid w:val="00DB3251"/>
    <w:rsid w:val="00DB3A57"/>
    <w:rsid w:val="00DB3B86"/>
    <w:rsid w:val="00DB40F9"/>
    <w:rsid w:val="00DB5016"/>
    <w:rsid w:val="00DB5076"/>
    <w:rsid w:val="00DB50CE"/>
    <w:rsid w:val="00DB55BE"/>
    <w:rsid w:val="00DB6356"/>
    <w:rsid w:val="00DB6449"/>
    <w:rsid w:val="00DB67D0"/>
    <w:rsid w:val="00DB698D"/>
    <w:rsid w:val="00DB6CF2"/>
    <w:rsid w:val="00DB6E54"/>
    <w:rsid w:val="00DB7504"/>
    <w:rsid w:val="00DB77E8"/>
    <w:rsid w:val="00DB7980"/>
    <w:rsid w:val="00DB79BE"/>
    <w:rsid w:val="00DC1B56"/>
    <w:rsid w:val="00DC1BDB"/>
    <w:rsid w:val="00DC2129"/>
    <w:rsid w:val="00DC234C"/>
    <w:rsid w:val="00DC2B0C"/>
    <w:rsid w:val="00DC35A2"/>
    <w:rsid w:val="00DC3D03"/>
    <w:rsid w:val="00DC410C"/>
    <w:rsid w:val="00DC4410"/>
    <w:rsid w:val="00DC442F"/>
    <w:rsid w:val="00DC58A1"/>
    <w:rsid w:val="00DC629F"/>
    <w:rsid w:val="00DC6570"/>
    <w:rsid w:val="00DC7412"/>
    <w:rsid w:val="00DC762B"/>
    <w:rsid w:val="00DC7F7E"/>
    <w:rsid w:val="00DD01E2"/>
    <w:rsid w:val="00DD0780"/>
    <w:rsid w:val="00DD1782"/>
    <w:rsid w:val="00DD19B9"/>
    <w:rsid w:val="00DD1C72"/>
    <w:rsid w:val="00DD22B2"/>
    <w:rsid w:val="00DD2C9F"/>
    <w:rsid w:val="00DD352D"/>
    <w:rsid w:val="00DD3C5E"/>
    <w:rsid w:val="00DD3E52"/>
    <w:rsid w:val="00DD4745"/>
    <w:rsid w:val="00DD499F"/>
    <w:rsid w:val="00DD4ED6"/>
    <w:rsid w:val="00DD5042"/>
    <w:rsid w:val="00DD5313"/>
    <w:rsid w:val="00DD5792"/>
    <w:rsid w:val="00DD5B79"/>
    <w:rsid w:val="00DD5D25"/>
    <w:rsid w:val="00DD5DC9"/>
    <w:rsid w:val="00DD71EF"/>
    <w:rsid w:val="00DD7A5C"/>
    <w:rsid w:val="00DD7CBB"/>
    <w:rsid w:val="00DE0F7D"/>
    <w:rsid w:val="00DE244D"/>
    <w:rsid w:val="00DE2747"/>
    <w:rsid w:val="00DE2832"/>
    <w:rsid w:val="00DE29AF"/>
    <w:rsid w:val="00DE2DCA"/>
    <w:rsid w:val="00DE3535"/>
    <w:rsid w:val="00DE37B0"/>
    <w:rsid w:val="00DE4915"/>
    <w:rsid w:val="00DE5629"/>
    <w:rsid w:val="00DE643E"/>
    <w:rsid w:val="00DE69E1"/>
    <w:rsid w:val="00DE6A24"/>
    <w:rsid w:val="00DE7110"/>
    <w:rsid w:val="00DE73CA"/>
    <w:rsid w:val="00DE753F"/>
    <w:rsid w:val="00DE7793"/>
    <w:rsid w:val="00DF018B"/>
    <w:rsid w:val="00DF0371"/>
    <w:rsid w:val="00DF110B"/>
    <w:rsid w:val="00DF14E8"/>
    <w:rsid w:val="00DF25C3"/>
    <w:rsid w:val="00DF3506"/>
    <w:rsid w:val="00DF3845"/>
    <w:rsid w:val="00DF40CD"/>
    <w:rsid w:val="00DF4488"/>
    <w:rsid w:val="00DF457A"/>
    <w:rsid w:val="00DF485D"/>
    <w:rsid w:val="00DF4BBC"/>
    <w:rsid w:val="00DF59D0"/>
    <w:rsid w:val="00DF5E03"/>
    <w:rsid w:val="00DF65DC"/>
    <w:rsid w:val="00DF67AB"/>
    <w:rsid w:val="00DF725E"/>
    <w:rsid w:val="00DF78BF"/>
    <w:rsid w:val="00E00043"/>
    <w:rsid w:val="00E0005D"/>
    <w:rsid w:val="00E00181"/>
    <w:rsid w:val="00E00937"/>
    <w:rsid w:val="00E02440"/>
    <w:rsid w:val="00E02CB0"/>
    <w:rsid w:val="00E02DAB"/>
    <w:rsid w:val="00E02FC9"/>
    <w:rsid w:val="00E032B0"/>
    <w:rsid w:val="00E03A85"/>
    <w:rsid w:val="00E04062"/>
    <w:rsid w:val="00E045B7"/>
    <w:rsid w:val="00E04672"/>
    <w:rsid w:val="00E047FC"/>
    <w:rsid w:val="00E062C4"/>
    <w:rsid w:val="00E063C6"/>
    <w:rsid w:val="00E066BA"/>
    <w:rsid w:val="00E06EDF"/>
    <w:rsid w:val="00E07852"/>
    <w:rsid w:val="00E07965"/>
    <w:rsid w:val="00E07B9D"/>
    <w:rsid w:val="00E113A9"/>
    <w:rsid w:val="00E1279C"/>
    <w:rsid w:val="00E13285"/>
    <w:rsid w:val="00E134A0"/>
    <w:rsid w:val="00E13D76"/>
    <w:rsid w:val="00E1445A"/>
    <w:rsid w:val="00E146C2"/>
    <w:rsid w:val="00E14C43"/>
    <w:rsid w:val="00E14E1C"/>
    <w:rsid w:val="00E153E4"/>
    <w:rsid w:val="00E156DA"/>
    <w:rsid w:val="00E15901"/>
    <w:rsid w:val="00E15D97"/>
    <w:rsid w:val="00E16B67"/>
    <w:rsid w:val="00E16CDE"/>
    <w:rsid w:val="00E17154"/>
    <w:rsid w:val="00E2003B"/>
    <w:rsid w:val="00E201A9"/>
    <w:rsid w:val="00E203C2"/>
    <w:rsid w:val="00E20F19"/>
    <w:rsid w:val="00E20F70"/>
    <w:rsid w:val="00E21202"/>
    <w:rsid w:val="00E21C7F"/>
    <w:rsid w:val="00E21FBA"/>
    <w:rsid w:val="00E22207"/>
    <w:rsid w:val="00E23EA3"/>
    <w:rsid w:val="00E25AF1"/>
    <w:rsid w:val="00E265C7"/>
    <w:rsid w:val="00E26723"/>
    <w:rsid w:val="00E279D8"/>
    <w:rsid w:val="00E27AAC"/>
    <w:rsid w:val="00E314A4"/>
    <w:rsid w:val="00E319B1"/>
    <w:rsid w:val="00E31E25"/>
    <w:rsid w:val="00E321C0"/>
    <w:rsid w:val="00E32442"/>
    <w:rsid w:val="00E32603"/>
    <w:rsid w:val="00E3263F"/>
    <w:rsid w:val="00E33355"/>
    <w:rsid w:val="00E3423F"/>
    <w:rsid w:val="00E342FF"/>
    <w:rsid w:val="00E34D51"/>
    <w:rsid w:val="00E3603C"/>
    <w:rsid w:val="00E36514"/>
    <w:rsid w:val="00E4041C"/>
    <w:rsid w:val="00E4172B"/>
    <w:rsid w:val="00E41AF1"/>
    <w:rsid w:val="00E41BD5"/>
    <w:rsid w:val="00E42424"/>
    <w:rsid w:val="00E42873"/>
    <w:rsid w:val="00E431C9"/>
    <w:rsid w:val="00E443B9"/>
    <w:rsid w:val="00E44E0D"/>
    <w:rsid w:val="00E45DF5"/>
    <w:rsid w:val="00E461D0"/>
    <w:rsid w:val="00E47F23"/>
    <w:rsid w:val="00E502BF"/>
    <w:rsid w:val="00E50C3D"/>
    <w:rsid w:val="00E50E46"/>
    <w:rsid w:val="00E5140B"/>
    <w:rsid w:val="00E518B0"/>
    <w:rsid w:val="00E51970"/>
    <w:rsid w:val="00E51AA7"/>
    <w:rsid w:val="00E51E79"/>
    <w:rsid w:val="00E5277A"/>
    <w:rsid w:val="00E52AE0"/>
    <w:rsid w:val="00E5310B"/>
    <w:rsid w:val="00E5318F"/>
    <w:rsid w:val="00E53CCB"/>
    <w:rsid w:val="00E5492F"/>
    <w:rsid w:val="00E54A0C"/>
    <w:rsid w:val="00E54CDF"/>
    <w:rsid w:val="00E54CE3"/>
    <w:rsid w:val="00E557CD"/>
    <w:rsid w:val="00E55B94"/>
    <w:rsid w:val="00E56034"/>
    <w:rsid w:val="00E56727"/>
    <w:rsid w:val="00E56879"/>
    <w:rsid w:val="00E5697D"/>
    <w:rsid w:val="00E56DC6"/>
    <w:rsid w:val="00E60A27"/>
    <w:rsid w:val="00E61BD4"/>
    <w:rsid w:val="00E62DEF"/>
    <w:rsid w:val="00E63C30"/>
    <w:rsid w:val="00E648A7"/>
    <w:rsid w:val="00E64F1D"/>
    <w:rsid w:val="00E65617"/>
    <w:rsid w:val="00E6596E"/>
    <w:rsid w:val="00E65C06"/>
    <w:rsid w:val="00E65D9E"/>
    <w:rsid w:val="00E67E2C"/>
    <w:rsid w:val="00E7016F"/>
    <w:rsid w:val="00E7045F"/>
    <w:rsid w:val="00E70A86"/>
    <w:rsid w:val="00E72B4B"/>
    <w:rsid w:val="00E72E09"/>
    <w:rsid w:val="00E749B8"/>
    <w:rsid w:val="00E74B80"/>
    <w:rsid w:val="00E74E24"/>
    <w:rsid w:val="00E750A5"/>
    <w:rsid w:val="00E75B92"/>
    <w:rsid w:val="00E75CE5"/>
    <w:rsid w:val="00E7640E"/>
    <w:rsid w:val="00E76B8A"/>
    <w:rsid w:val="00E76F1E"/>
    <w:rsid w:val="00E777EC"/>
    <w:rsid w:val="00E77C87"/>
    <w:rsid w:val="00E77D8B"/>
    <w:rsid w:val="00E77E1F"/>
    <w:rsid w:val="00E801AD"/>
    <w:rsid w:val="00E803F3"/>
    <w:rsid w:val="00E80958"/>
    <w:rsid w:val="00E80F65"/>
    <w:rsid w:val="00E80FCD"/>
    <w:rsid w:val="00E81A79"/>
    <w:rsid w:val="00E81E05"/>
    <w:rsid w:val="00E82017"/>
    <w:rsid w:val="00E83BCF"/>
    <w:rsid w:val="00E83DA1"/>
    <w:rsid w:val="00E84B96"/>
    <w:rsid w:val="00E84C9C"/>
    <w:rsid w:val="00E84D2E"/>
    <w:rsid w:val="00E84DB8"/>
    <w:rsid w:val="00E86079"/>
    <w:rsid w:val="00E8624B"/>
    <w:rsid w:val="00E86383"/>
    <w:rsid w:val="00E87D26"/>
    <w:rsid w:val="00E87D41"/>
    <w:rsid w:val="00E90162"/>
    <w:rsid w:val="00E90206"/>
    <w:rsid w:val="00E907FD"/>
    <w:rsid w:val="00E90D7B"/>
    <w:rsid w:val="00E91355"/>
    <w:rsid w:val="00E915FB"/>
    <w:rsid w:val="00E91641"/>
    <w:rsid w:val="00E918E9"/>
    <w:rsid w:val="00E922D8"/>
    <w:rsid w:val="00E92C45"/>
    <w:rsid w:val="00E937F0"/>
    <w:rsid w:val="00E939EE"/>
    <w:rsid w:val="00E93EEB"/>
    <w:rsid w:val="00E94C2E"/>
    <w:rsid w:val="00E953DA"/>
    <w:rsid w:val="00E9689B"/>
    <w:rsid w:val="00E973EE"/>
    <w:rsid w:val="00E97580"/>
    <w:rsid w:val="00E97BA8"/>
    <w:rsid w:val="00E97D9B"/>
    <w:rsid w:val="00EA0816"/>
    <w:rsid w:val="00EA0F5F"/>
    <w:rsid w:val="00EA1FE6"/>
    <w:rsid w:val="00EA292E"/>
    <w:rsid w:val="00EA2C00"/>
    <w:rsid w:val="00EA2CC1"/>
    <w:rsid w:val="00EA32AB"/>
    <w:rsid w:val="00EA35C7"/>
    <w:rsid w:val="00EA3C80"/>
    <w:rsid w:val="00EA4445"/>
    <w:rsid w:val="00EA4CEA"/>
    <w:rsid w:val="00EA4D84"/>
    <w:rsid w:val="00EA5BDF"/>
    <w:rsid w:val="00EA65AD"/>
    <w:rsid w:val="00EA691E"/>
    <w:rsid w:val="00EA6AD8"/>
    <w:rsid w:val="00EA7B69"/>
    <w:rsid w:val="00EA7F2F"/>
    <w:rsid w:val="00EB10CE"/>
    <w:rsid w:val="00EB1167"/>
    <w:rsid w:val="00EB1BF5"/>
    <w:rsid w:val="00EB1FF2"/>
    <w:rsid w:val="00EB2142"/>
    <w:rsid w:val="00EB3195"/>
    <w:rsid w:val="00EB3A94"/>
    <w:rsid w:val="00EB3E2E"/>
    <w:rsid w:val="00EB43E3"/>
    <w:rsid w:val="00EB52BE"/>
    <w:rsid w:val="00EB5972"/>
    <w:rsid w:val="00EB638B"/>
    <w:rsid w:val="00EB71CC"/>
    <w:rsid w:val="00EB753B"/>
    <w:rsid w:val="00EC00DE"/>
    <w:rsid w:val="00EC07B0"/>
    <w:rsid w:val="00EC0CF8"/>
    <w:rsid w:val="00EC0E55"/>
    <w:rsid w:val="00EC0F38"/>
    <w:rsid w:val="00EC12D2"/>
    <w:rsid w:val="00EC1917"/>
    <w:rsid w:val="00EC1AC8"/>
    <w:rsid w:val="00EC1D81"/>
    <w:rsid w:val="00EC2EB2"/>
    <w:rsid w:val="00EC2FC8"/>
    <w:rsid w:val="00EC30E1"/>
    <w:rsid w:val="00EC3B08"/>
    <w:rsid w:val="00EC3B9B"/>
    <w:rsid w:val="00EC46A6"/>
    <w:rsid w:val="00EC49C2"/>
    <w:rsid w:val="00EC4D8E"/>
    <w:rsid w:val="00EC4DE4"/>
    <w:rsid w:val="00EC4F80"/>
    <w:rsid w:val="00EC4FE4"/>
    <w:rsid w:val="00EC58E4"/>
    <w:rsid w:val="00EC5EA7"/>
    <w:rsid w:val="00EC624D"/>
    <w:rsid w:val="00EC66DD"/>
    <w:rsid w:val="00EC66EA"/>
    <w:rsid w:val="00EC710A"/>
    <w:rsid w:val="00EC751A"/>
    <w:rsid w:val="00EC7C86"/>
    <w:rsid w:val="00ED055B"/>
    <w:rsid w:val="00ED0BE6"/>
    <w:rsid w:val="00ED0EFD"/>
    <w:rsid w:val="00ED1010"/>
    <w:rsid w:val="00ED172A"/>
    <w:rsid w:val="00ED18F8"/>
    <w:rsid w:val="00ED1991"/>
    <w:rsid w:val="00ED19A9"/>
    <w:rsid w:val="00ED1AE0"/>
    <w:rsid w:val="00ED2533"/>
    <w:rsid w:val="00ED2F9C"/>
    <w:rsid w:val="00ED3233"/>
    <w:rsid w:val="00ED39B6"/>
    <w:rsid w:val="00ED422F"/>
    <w:rsid w:val="00ED5AE5"/>
    <w:rsid w:val="00ED6BB5"/>
    <w:rsid w:val="00ED7892"/>
    <w:rsid w:val="00EE1160"/>
    <w:rsid w:val="00EE150F"/>
    <w:rsid w:val="00EE168B"/>
    <w:rsid w:val="00EE1ACF"/>
    <w:rsid w:val="00EE1FBD"/>
    <w:rsid w:val="00EE214A"/>
    <w:rsid w:val="00EE2318"/>
    <w:rsid w:val="00EE29FA"/>
    <w:rsid w:val="00EE368F"/>
    <w:rsid w:val="00EE379F"/>
    <w:rsid w:val="00EE3887"/>
    <w:rsid w:val="00EE3B38"/>
    <w:rsid w:val="00EE3BA7"/>
    <w:rsid w:val="00EE3C33"/>
    <w:rsid w:val="00EE4221"/>
    <w:rsid w:val="00EE43DF"/>
    <w:rsid w:val="00EE4F0C"/>
    <w:rsid w:val="00EE52DF"/>
    <w:rsid w:val="00EE6179"/>
    <w:rsid w:val="00EE6D0A"/>
    <w:rsid w:val="00EE6E5F"/>
    <w:rsid w:val="00EF004A"/>
    <w:rsid w:val="00EF05DE"/>
    <w:rsid w:val="00EF1156"/>
    <w:rsid w:val="00EF1EDC"/>
    <w:rsid w:val="00EF220E"/>
    <w:rsid w:val="00EF29D1"/>
    <w:rsid w:val="00EF2B18"/>
    <w:rsid w:val="00EF32E2"/>
    <w:rsid w:val="00EF3574"/>
    <w:rsid w:val="00EF3C39"/>
    <w:rsid w:val="00EF3FA6"/>
    <w:rsid w:val="00EF52BC"/>
    <w:rsid w:val="00EF68FF"/>
    <w:rsid w:val="00EF7054"/>
    <w:rsid w:val="00EF7FA2"/>
    <w:rsid w:val="00F0016D"/>
    <w:rsid w:val="00F00368"/>
    <w:rsid w:val="00F00BFE"/>
    <w:rsid w:val="00F0137A"/>
    <w:rsid w:val="00F01B40"/>
    <w:rsid w:val="00F029A7"/>
    <w:rsid w:val="00F03C48"/>
    <w:rsid w:val="00F04256"/>
    <w:rsid w:val="00F04A5A"/>
    <w:rsid w:val="00F04B59"/>
    <w:rsid w:val="00F04EE7"/>
    <w:rsid w:val="00F0569E"/>
    <w:rsid w:val="00F05F5A"/>
    <w:rsid w:val="00F06938"/>
    <w:rsid w:val="00F06CE1"/>
    <w:rsid w:val="00F07585"/>
    <w:rsid w:val="00F07F92"/>
    <w:rsid w:val="00F07FBC"/>
    <w:rsid w:val="00F101A8"/>
    <w:rsid w:val="00F101BF"/>
    <w:rsid w:val="00F10296"/>
    <w:rsid w:val="00F10E65"/>
    <w:rsid w:val="00F11080"/>
    <w:rsid w:val="00F11495"/>
    <w:rsid w:val="00F11512"/>
    <w:rsid w:val="00F11F6C"/>
    <w:rsid w:val="00F12962"/>
    <w:rsid w:val="00F12C51"/>
    <w:rsid w:val="00F1476C"/>
    <w:rsid w:val="00F14BEC"/>
    <w:rsid w:val="00F15018"/>
    <w:rsid w:val="00F1509C"/>
    <w:rsid w:val="00F15870"/>
    <w:rsid w:val="00F15A5E"/>
    <w:rsid w:val="00F15D49"/>
    <w:rsid w:val="00F163D5"/>
    <w:rsid w:val="00F179CB"/>
    <w:rsid w:val="00F17A2A"/>
    <w:rsid w:val="00F2083B"/>
    <w:rsid w:val="00F20DEC"/>
    <w:rsid w:val="00F2104A"/>
    <w:rsid w:val="00F21143"/>
    <w:rsid w:val="00F21C24"/>
    <w:rsid w:val="00F21E17"/>
    <w:rsid w:val="00F22235"/>
    <w:rsid w:val="00F225C5"/>
    <w:rsid w:val="00F230B7"/>
    <w:rsid w:val="00F2374C"/>
    <w:rsid w:val="00F23958"/>
    <w:rsid w:val="00F242E7"/>
    <w:rsid w:val="00F24501"/>
    <w:rsid w:val="00F249E5"/>
    <w:rsid w:val="00F24B5D"/>
    <w:rsid w:val="00F250AB"/>
    <w:rsid w:val="00F2524F"/>
    <w:rsid w:val="00F2587A"/>
    <w:rsid w:val="00F25B82"/>
    <w:rsid w:val="00F267B8"/>
    <w:rsid w:val="00F267BF"/>
    <w:rsid w:val="00F268A8"/>
    <w:rsid w:val="00F27376"/>
    <w:rsid w:val="00F278F1"/>
    <w:rsid w:val="00F30B39"/>
    <w:rsid w:val="00F31500"/>
    <w:rsid w:val="00F31581"/>
    <w:rsid w:val="00F32639"/>
    <w:rsid w:val="00F32A04"/>
    <w:rsid w:val="00F32BB3"/>
    <w:rsid w:val="00F32BE3"/>
    <w:rsid w:val="00F32C8E"/>
    <w:rsid w:val="00F33CA0"/>
    <w:rsid w:val="00F34033"/>
    <w:rsid w:val="00F3415A"/>
    <w:rsid w:val="00F350BA"/>
    <w:rsid w:val="00F358CB"/>
    <w:rsid w:val="00F3634E"/>
    <w:rsid w:val="00F366E0"/>
    <w:rsid w:val="00F3715D"/>
    <w:rsid w:val="00F37694"/>
    <w:rsid w:val="00F37766"/>
    <w:rsid w:val="00F37B28"/>
    <w:rsid w:val="00F4001E"/>
    <w:rsid w:val="00F418AA"/>
    <w:rsid w:val="00F41B7D"/>
    <w:rsid w:val="00F420C8"/>
    <w:rsid w:val="00F42110"/>
    <w:rsid w:val="00F42A4C"/>
    <w:rsid w:val="00F434E8"/>
    <w:rsid w:val="00F4358F"/>
    <w:rsid w:val="00F445FB"/>
    <w:rsid w:val="00F45F5E"/>
    <w:rsid w:val="00F4602B"/>
    <w:rsid w:val="00F46EC2"/>
    <w:rsid w:val="00F47BE3"/>
    <w:rsid w:val="00F5003F"/>
    <w:rsid w:val="00F5011F"/>
    <w:rsid w:val="00F50659"/>
    <w:rsid w:val="00F50BE0"/>
    <w:rsid w:val="00F5140C"/>
    <w:rsid w:val="00F51477"/>
    <w:rsid w:val="00F51999"/>
    <w:rsid w:val="00F51C67"/>
    <w:rsid w:val="00F51FD8"/>
    <w:rsid w:val="00F5244A"/>
    <w:rsid w:val="00F53546"/>
    <w:rsid w:val="00F53D72"/>
    <w:rsid w:val="00F53E96"/>
    <w:rsid w:val="00F53ED2"/>
    <w:rsid w:val="00F54F3A"/>
    <w:rsid w:val="00F55021"/>
    <w:rsid w:val="00F55A11"/>
    <w:rsid w:val="00F55C2B"/>
    <w:rsid w:val="00F56AE7"/>
    <w:rsid w:val="00F57151"/>
    <w:rsid w:val="00F57774"/>
    <w:rsid w:val="00F57A92"/>
    <w:rsid w:val="00F57CA6"/>
    <w:rsid w:val="00F604DE"/>
    <w:rsid w:val="00F604F7"/>
    <w:rsid w:val="00F60A4E"/>
    <w:rsid w:val="00F617F1"/>
    <w:rsid w:val="00F6211B"/>
    <w:rsid w:val="00F622AE"/>
    <w:rsid w:val="00F6284F"/>
    <w:rsid w:val="00F62886"/>
    <w:rsid w:val="00F64CFC"/>
    <w:rsid w:val="00F653E4"/>
    <w:rsid w:val="00F657A2"/>
    <w:rsid w:val="00F6607E"/>
    <w:rsid w:val="00F66694"/>
    <w:rsid w:val="00F66ADA"/>
    <w:rsid w:val="00F66B76"/>
    <w:rsid w:val="00F673A6"/>
    <w:rsid w:val="00F674CB"/>
    <w:rsid w:val="00F67ED9"/>
    <w:rsid w:val="00F70688"/>
    <w:rsid w:val="00F7074C"/>
    <w:rsid w:val="00F71388"/>
    <w:rsid w:val="00F717EC"/>
    <w:rsid w:val="00F71966"/>
    <w:rsid w:val="00F72D12"/>
    <w:rsid w:val="00F72DC9"/>
    <w:rsid w:val="00F732AC"/>
    <w:rsid w:val="00F737B2"/>
    <w:rsid w:val="00F73D96"/>
    <w:rsid w:val="00F742AE"/>
    <w:rsid w:val="00F742FF"/>
    <w:rsid w:val="00F74C71"/>
    <w:rsid w:val="00F74D5B"/>
    <w:rsid w:val="00F74E26"/>
    <w:rsid w:val="00F754DD"/>
    <w:rsid w:val="00F75A82"/>
    <w:rsid w:val="00F76307"/>
    <w:rsid w:val="00F77321"/>
    <w:rsid w:val="00F774CC"/>
    <w:rsid w:val="00F77A3B"/>
    <w:rsid w:val="00F800A3"/>
    <w:rsid w:val="00F817A3"/>
    <w:rsid w:val="00F82D7E"/>
    <w:rsid w:val="00F83B5F"/>
    <w:rsid w:val="00F83F5A"/>
    <w:rsid w:val="00F840B1"/>
    <w:rsid w:val="00F84405"/>
    <w:rsid w:val="00F84A0E"/>
    <w:rsid w:val="00F84D81"/>
    <w:rsid w:val="00F85D8F"/>
    <w:rsid w:val="00F8605E"/>
    <w:rsid w:val="00F86677"/>
    <w:rsid w:val="00F866BA"/>
    <w:rsid w:val="00F86A28"/>
    <w:rsid w:val="00F872AB"/>
    <w:rsid w:val="00F87743"/>
    <w:rsid w:val="00F87951"/>
    <w:rsid w:val="00F87CA4"/>
    <w:rsid w:val="00F90075"/>
    <w:rsid w:val="00F902CB"/>
    <w:rsid w:val="00F907DC"/>
    <w:rsid w:val="00F90A29"/>
    <w:rsid w:val="00F9310B"/>
    <w:rsid w:val="00F937D8"/>
    <w:rsid w:val="00F945E9"/>
    <w:rsid w:val="00F9463F"/>
    <w:rsid w:val="00F9526C"/>
    <w:rsid w:val="00F95D3E"/>
    <w:rsid w:val="00F96AC0"/>
    <w:rsid w:val="00F97585"/>
    <w:rsid w:val="00F97A57"/>
    <w:rsid w:val="00FA01B2"/>
    <w:rsid w:val="00FA0210"/>
    <w:rsid w:val="00FA07A0"/>
    <w:rsid w:val="00FA1096"/>
    <w:rsid w:val="00FA158E"/>
    <w:rsid w:val="00FA1ADD"/>
    <w:rsid w:val="00FA1AE5"/>
    <w:rsid w:val="00FA201A"/>
    <w:rsid w:val="00FA2175"/>
    <w:rsid w:val="00FA2425"/>
    <w:rsid w:val="00FA2F3A"/>
    <w:rsid w:val="00FA335A"/>
    <w:rsid w:val="00FA45EF"/>
    <w:rsid w:val="00FA47E2"/>
    <w:rsid w:val="00FA6EA0"/>
    <w:rsid w:val="00FA7E2A"/>
    <w:rsid w:val="00FB0867"/>
    <w:rsid w:val="00FB0F5B"/>
    <w:rsid w:val="00FB164A"/>
    <w:rsid w:val="00FB1798"/>
    <w:rsid w:val="00FB18CF"/>
    <w:rsid w:val="00FB20AC"/>
    <w:rsid w:val="00FB2750"/>
    <w:rsid w:val="00FB2BF4"/>
    <w:rsid w:val="00FB3C21"/>
    <w:rsid w:val="00FB3E38"/>
    <w:rsid w:val="00FB47AC"/>
    <w:rsid w:val="00FB538F"/>
    <w:rsid w:val="00FB61C1"/>
    <w:rsid w:val="00FB6503"/>
    <w:rsid w:val="00FB741B"/>
    <w:rsid w:val="00FB7512"/>
    <w:rsid w:val="00FC09B5"/>
    <w:rsid w:val="00FC1094"/>
    <w:rsid w:val="00FC25B7"/>
    <w:rsid w:val="00FC2B07"/>
    <w:rsid w:val="00FC36CC"/>
    <w:rsid w:val="00FC42B4"/>
    <w:rsid w:val="00FC4B0C"/>
    <w:rsid w:val="00FC5161"/>
    <w:rsid w:val="00FC5481"/>
    <w:rsid w:val="00FC5ADD"/>
    <w:rsid w:val="00FC73D7"/>
    <w:rsid w:val="00FC784B"/>
    <w:rsid w:val="00FC7C42"/>
    <w:rsid w:val="00FD1475"/>
    <w:rsid w:val="00FD1A4E"/>
    <w:rsid w:val="00FD28D3"/>
    <w:rsid w:val="00FD2B91"/>
    <w:rsid w:val="00FD2B99"/>
    <w:rsid w:val="00FD2CD1"/>
    <w:rsid w:val="00FD3009"/>
    <w:rsid w:val="00FD3475"/>
    <w:rsid w:val="00FD3AB3"/>
    <w:rsid w:val="00FD3EC6"/>
    <w:rsid w:val="00FD4D41"/>
    <w:rsid w:val="00FD5020"/>
    <w:rsid w:val="00FD5F83"/>
    <w:rsid w:val="00FD5FD7"/>
    <w:rsid w:val="00FD5FEE"/>
    <w:rsid w:val="00FD702B"/>
    <w:rsid w:val="00FD7547"/>
    <w:rsid w:val="00FD7769"/>
    <w:rsid w:val="00FD7BA9"/>
    <w:rsid w:val="00FD7C47"/>
    <w:rsid w:val="00FD7D5A"/>
    <w:rsid w:val="00FD7D81"/>
    <w:rsid w:val="00FE0BD4"/>
    <w:rsid w:val="00FE1072"/>
    <w:rsid w:val="00FE2E4B"/>
    <w:rsid w:val="00FE33EF"/>
    <w:rsid w:val="00FE4C61"/>
    <w:rsid w:val="00FE591A"/>
    <w:rsid w:val="00FE74E0"/>
    <w:rsid w:val="00FF062E"/>
    <w:rsid w:val="00FF0B36"/>
    <w:rsid w:val="00FF1854"/>
    <w:rsid w:val="00FF1922"/>
    <w:rsid w:val="00FF26EB"/>
    <w:rsid w:val="00FF32EE"/>
    <w:rsid w:val="00FF3A17"/>
    <w:rsid w:val="00FF3A58"/>
    <w:rsid w:val="00FF4073"/>
    <w:rsid w:val="00FF4711"/>
    <w:rsid w:val="00FF48F6"/>
    <w:rsid w:val="00FF4FD0"/>
    <w:rsid w:val="00FF573D"/>
    <w:rsid w:val="00FF5F53"/>
    <w:rsid w:val="00FF5F5C"/>
    <w:rsid w:val="00FF635D"/>
    <w:rsid w:val="00FF6CD6"/>
    <w:rsid w:val="00FF71A0"/>
    <w:rsid w:val="00FF71D7"/>
    <w:rsid w:val="00FF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8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33"/>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41BD5"/>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614DC8"/>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41BD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614DC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D652B1"/>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D652B1"/>
    <w:pPr>
      <w:tabs>
        <w:tab w:val="left" w:pos="1100"/>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4A26DB"/>
    <w:pPr>
      <w:ind w:left="720"/>
      <w:contextualSpacing/>
    </w:pPr>
  </w:style>
  <w:style w:type="paragraph" w:styleId="CommentSubject">
    <w:name w:val="annotation subject"/>
    <w:basedOn w:val="CommentText"/>
    <w:next w:val="CommentText"/>
    <w:link w:val="CommentSubjectChar"/>
    <w:semiHidden/>
    <w:unhideWhenUsed/>
    <w:rsid w:val="004A26DB"/>
    <w:rPr>
      <w:b/>
      <w:bCs/>
    </w:rPr>
  </w:style>
  <w:style w:type="character" w:customStyle="1" w:styleId="CommentSubjectChar">
    <w:name w:val="Comment Subject Char"/>
    <w:basedOn w:val="CommentTextChar"/>
    <w:link w:val="CommentSubject"/>
    <w:semiHidden/>
    <w:rsid w:val="004A26DB"/>
    <w:rPr>
      <w:rFonts w:ascii="Arial" w:hAnsi="Arial"/>
      <w:b/>
      <w:bCs/>
      <w:lang w:eastAsia="en-US" w:bidi="en-US"/>
    </w:rPr>
  </w:style>
  <w:style w:type="paragraph" w:customStyle="1" w:styleId="Default">
    <w:name w:val="Default"/>
    <w:rsid w:val="000A7E00"/>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4D5874"/>
    <w:rPr>
      <w:rFonts w:ascii="Arial" w:hAnsi="Arial"/>
      <w:sz w:val="22"/>
      <w:szCs w:val="24"/>
      <w:lang w:eastAsia="en-US" w:bidi="en-US"/>
    </w:rPr>
  </w:style>
  <w:style w:type="character" w:customStyle="1" w:styleId="italic">
    <w:name w:val="italic"/>
    <w:basedOn w:val="DefaultParagraphFont"/>
    <w:rsid w:val="00D40474"/>
  </w:style>
  <w:style w:type="character" w:styleId="IntenseEmphasis">
    <w:name w:val="Intense Emphasis"/>
    <w:basedOn w:val="DefaultParagraphFont"/>
    <w:uiPriority w:val="21"/>
    <w:rsid w:val="00620787"/>
    <w:rPr>
      <w:b/>
      <w:bCs/>
      <w:i/>
      <w:iCs/>
      <w:color w:val="4F81BD" w:themeColor="accent1"/>
    </w:rPr>
  </w:style>
  <w:style w:type="character" w:styleId="Strong">
    <w:name w:val="Strong"/>
    <w:basedOn w:val="DefaultParagraphFont"/>
    <w:uiPriority w:val="22"/>
    <w:qFormat/>
    <w:rsid w:val="00E33355"/>
    <w:rPr>
      <w:b/>
      <w:bCs/>
    </w:rPr>
  </w:style>
  <w:style w:type="character" w:styleId="Emphasis">
    <w:name w:val="Emphasis"/>
    <w:basedOn w:val="DefaultParagraphFont"/>
    <w:uiPriority w:val="20"/>
    <w:qFormat/>
    <w:rsid w:val="00E33355"/>
    <w:rPr>
      <w:i/>
      <w:iCs/>
    </w:rPr>
  </w:style>
  <w:style w:type="character" w:customStyle="1" w:styleId="st1">
    <w:name w:val="st1"/>
    <w:basedOn w:val="DefaultParagraphFont"/>
    <w:rsid w:val="00C4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38">
      <w:bodyDiv w:val="1"/>
      <w:marLeft w:val="0"/>
      <w:marRight w:val="0"/>
      <w:marTop w:val="0"/>
      <w:marBottom w:val="0"/>
      <w:divBdr>
        <w:top w:val="none" w:sz="0" w:space="0" w:color="auto"/>
        <w:left w:val="none" w:sz="0" w:space="0" w:color="auto"/>
        <w:bottom w:val="none" w:sz="0" w:space="0" w:color="auto"/>
        <w:right w:val="none" w:sz="0" w:space="0" w:color="auto"/>
      </w:divBdr>
    </w:div>
    <w:div w:id="63263669">
      <w:bodyDiv w:val="1"/>
      <w:marLeft w:val="0"/>
      <w:marRight w:val="0"/>
      <w:marTop w:val="0"/>
      <w:marBottom w:val="0"/>
      <w:divBdr>
        <w:top w:val="none" w:sz="0" w:space="0" w:color="auto"/>
        <w:left w:val="none" w:sz="0" w:space="0" w:color="auto"/>
        <w:bottom w:val="none" w:sz="0" w:space="0" w:color="auto"/>
        <w:right w:val="none" w:sz="0" w:space="0" w:color="auto"/>
      </w:divBdr>
    </w:div>
    <w:div w:id="144900344">
      <w:bodyDiv w:val="1"/>
      <w:marLeft w:val="0"/>
      <w:marRight w:val="0"/>
      <w:marTop w:val="0"/>
      <w:marBottom w:val="0"/>
      <w:divBdr>
        <w:top w:val="none" w:sz="0" w:space="0" w:color="auto"/>
        <w:left w:val="none" w:sz="0" w:space="0" w:color="auto"/>
        <w:bottom w:val="none" w:sz="0" w:space="0" w:color="auto"/>
        <w:right w:val="none" w:sz="0" w:space="0" w:color="auto"/>
      </w:divBdr>
      <w:divsChild>
        <w:div w:id="1473058070">
          <w:marLeft w:val="0"/>
          <w:marRight w:val="0"/>
          <w:marTop w:val="0"/>
          <w:marBottom w:val="0"/>
          <w:divBdr>
            <w:top w:val="none" w:sz="0" w:space="0" w:color="auto"/>
            <w:left w:val="none" w:sz="0" w:space="0" w:color="auto"/>
            <w:bottom w:val="none" w:sz="0" w:space="0" w:color="auto"/>
            <w:right w:val="none" w:sz="0" w:space="0" w:color="auto"/>
          </w:divBdr>
          <w:divsChild>
            <w:div w:id="500120345">
              <w:marLeft w:val="0"/>
              <w:marRight w:val="0"/>
              <w:marTop w:val="100"/>
              <w:marBottom w:val="100"/>
              <w:divBdr>
                <w:top w:val="none" w:sz="0" w:space="0" w:color="auto"/>
                <w:left w:val="none" w:sz="0" w:space="0" w:color="auto"/>
                <w:bottom w:val="none" w:sz="0" w:space="0" w:color="auto"/>
                <w:right w:val="none" w:sz="0" w:space="0" w:color="auto"/>
              </w:divBdr>
              <w:divsChild>
                <w:div w:id="1965885271">
                  <w:marLeft w:val="0"/>
                  <w:marRight w:val="0"/>
                  <w:marTop w:val="0"/>
                  <w:marBottom w:val="0"/>
                  <w:divBdr>
                    <w:top w:val="none" w:sz="0" w:space="0" w:color="auto"/>
                    <w:left w:val="none" w:sz="0" w:space="0" w:color="auto"/>
                    <w:bottom w:val="none" w:sz="0" w:space="0" w:color="auto"/>
                    <w:right w:val="none" w:sz="0" w:space="0" w:color="auto"/>
                  </w:divBdr>
                  <w:divsChild>
                    <w:div w:id="1942833540">
                      <w:marLeft w:val="0"/>
                      <w:marRight w:val="0"/>
                      <w:marTop w:val="0"/>
                      <w:marBottom w:val="0"/>
                      <w:divBdr>
                        <w:top w:val="none" w:sz="0" w:space="0" w:color="auto"/>
                        <w:left w:val="none" w:sz="0" w:space="0" w:color="auto"/>
                        <w:bottom w:val="none" w:sz="0" w:space="0" w:color="auto"/>
                        <w:right w:val="none" w:sz="0" w:space="0" w:color="auto"/>
                      </w:divBdr>
                      <w:divsChild>
                        <w:div w:id="250283088">
                          <w:marLeft w:val="0"/>
                          <w:marRight w:val="0"/>
                          <w:marTop w:val="0"/>
                          <w:marBottom w:val="0"/>
                          <w:divBdr>
                            <w:top w:val="none" w:sz="0" w:space="0" w:color="auto"/>
                            <w:left w:val="none" w:sz="0" w:space="0" w:color="auto"/>
                            <w:bottom w:val="none" w:sz="0" w:space="0" w:color="auto"/>
                            <w:right w:val="none" w:sz="0" w:space="0" w:color="auto"/>
                          </w:divBdr>
                          <w:divsChild>
                            <w:div w:id="1852639490">
                              <w:marLeft w:val="0"/>
                              <w:marRight w:val="0"/>
                              <w:marTop w:val="0"/>
                              <w:marBottom w:val="0"/>
                              <w:divBdr>
                                <w:top w:val="none" w:sz="0" w:space="0" w:color="auto"/>
                                <w:left w:val="none" w:sz="0" w:space="0" w:color="auto"/>
                                <w:bottom w:val="none" w:sz="0" w:space="0" w:color="auto"/>
                                <w:right w:val="none" w:sz="0" w:space="0" w:color="auto"/>
                              </w:divBdr>
                              <w:divsChild>
                                <w:div w:id="1912690774">
                                  <w:marLeft w:val="0"/>
                                  <w:marRight w:val="0"/>
                                  <w:marTop w:val="100"/>
                                  <w:marBottom w:val="100"/>
                                  <w:divBdr>
                                    <w:top w:val="none" w:sz="0" w:space="0" w:color="auto"/>
                                    <w:left w:val="none" w:sz="0" w:space="0" w:color="auto"/>
                                    <w:bottom w:val="none" w:sz="0" w:space="0" w:color="auto"/>
                                    <w:right w:val="none" w:sz="0" w:space="0" w:color="auto"/>
                                  </w:divBdr>
                                  <w:divsChild>
                                    <w:div w:id="445079885">
                                      <w:marLeft w:val="0"/>
                                      <w:marRight w:val="0"/>
                                      <w:marTop w:val="0"/>
                                      <w:marBottom w:val="0"/>
                                      <w:divBdr>
                                        <w:top w:val="none" w:sz="0" w:space="0" w:color="auto"/>
                                        <w:left w:val="none" w:sz="0" w:space="0" w:color="auto"/>
                                        <w:bottom w:val="none" w:sz="0" w:space="0" w:color="auto"/>
                                        <w:right w:val="none" w:sz="0" w:space="0" w:color="auto"/>
                                      </w:divBdr>
                                    </w:div>
                                    <w:div w:id="18531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0212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20846885">
      <w:bodyDiv w:val="1"/>
      <w:marLeft w:val="0"/>
      <w:marRight w:val="0"/>
      <w:marTop w:val="0"/>
      <w:marBottom w:val="0"/>
      <w:divBdr>
        <w:top w:val="none" w:sz="0" w:space="0" w:color="auto"/>
        <w:left w:val="none" w:sz="0" w:space="0" w:color="auto"/>
        <w:bottom w:val="none" w:sz="0" w:space="0" w:color="auto"/>
        <w:right w:val="none" w:sz="0" w:space="0" w:color="auto"/>
      </w:divBdr>
    </w:div>
    <w:div w:id="678391316">
      <w:bodyDiv w:val="1"/>
      <w:marLeft w:val="0"/>
      <w:marRight w:val="0"/>
      <w:marTop w:val="0"/>
      <w:marBottom w:val="0"/>
      <w:divBdr>
        <w:top w:val="none" w:sz="0" w:space="0" w:color="auto"/>
        <w:left w:val="none" w:sz="0" w:space="0" w:color="auto"/>
        <w:bottom w:val="none" w:sz="0" w:space="0" w:color="auto"/>
        <w:right w:val="none" w:sz="0" w:space="0" w:color="auto"/>
      </w:divBdr>
    </w:div>
    <w:div w:id="743377094">
      <w:bodyDiv w:val="1"/>
      <w:marLeft w:val="0"/>
      <w:marRight w:val="0"/>
      <w:marTop w:val="0"/>
      <w:marBottom w:val="0"/>
      <w:divBdr>
        <w:top w:val="none" w:sz="0" w:space="0" w:color="auto"/>
        <w:left w:val="none" w:sz="0" w:space="0" w:color="auto"/>
        <w:bottom w:val="none" w:sz="0" w:space="0" w:color="auto"/>
        <w:right w:val="none" w:sz="0" w:space="0" w:color="auto"/>
      </w:divBdr>
    </w:div>
    <w:div w:id="1279753373">
      <w:bodyDiv w:val="1"/>
      <w:marLeft w:val="0"/>
      <w:marRight w:val="0"/>
      <w:marTop w:val="0"/>
      <w:marBottom w:val="0"/>
      <w:divBdr>
        <w:top w:val="none" w:sz="0" w:space="0" w:color="auto"/>
        <w:left w:val="none" w:sz="0" w:space="0" w:color="auto"/>
        <w:bottom w:val="none" w:sz="0" w:space="0" w:color="auto"/>
        <w:right w:val="none" w:sz="0" w:space="0" w:color="auto"/>
      </w:divBdr>
      <w:divsChild>
        <w:div w:id="642781427">
          <w:marLeft w:val="0"/>
          <w:marRight w:val="0"/>
          <w:marTop w:val="0"/>
          <w:marBottom w:val="0"/>
          <w:divBdr>
            <w:top w:val="none" w:sz="0" w:space="0" w:color="auto"/>
            <w:left w:val="none" w:sz="0" w:space="0" w:color="auto"/>
            <w:bottom w:val="none" w:sz="0" w:space="0" w:color="auto"/>
            <w:right w:val="none" w:sz="0" w:space="0" w:color="auto"/>
          </w:divBdr>
          <w:divsChild>
            <w:div w:id="436799963">
              <w:marLeft w:val="0"/>
              <w:marRight w:val="0"/>
              <w:marTop w:val="0"/>
              <w:marBottom w:val="0"/>
              <w:divBdr>
                <w:top w:val="none" w:sz="0" w:space="0" w:color="auto"/>
                <w:left w:val="none" w:sz="0" w:space="0" w:color="auto"/>
                <w:bottom w:val="none" w:sz="0" w:space="0" w:color="auto"/>
                <w:right w:val="none" w:sz="0" w:space="0" w:color="auto"/>
              </w:divBdr>
              <w:divsChild>
                <w:div w:id="1035541096">
                  <w:marLeft w:val="0"/>
                  <w:marRight w:val="0"/>
                  <w:marTop w:val="0"/>
                  <w:marBottom w:val="0"/>
                  <w:divBdr>
                    <w:top w:val="none" w:sz="0" w:space="0" w:color="auto"/>
                    <w:left w:val="none" w:sz="0" w:space="0" w:color="auto"/>
                    <w:bottom w:val="none" w:sz="0" w:space="0" w:color="auto"/>
                    <w:right w:val="none" w:sz="0" w:space="0" w:color="auto"/>
                  </w:divBdr>
                  <w:divsChild>
                    <w:div w:id="720634161">
                      <w:marLeft w:val="0"/>
                      <w:marRight w:val="0"/>
                      <w:marTop w:val="0"/>
                      <w:marBottom w:val="0"/>
                      <w:divBdr>
                        <w:top w:val="none" w:sz="0" w:space="0" w:color="auto"/>
                        <w:left w:val="none" w:sz="0" w:space="0" w:color="auto"/>
                        <w:bottom w:val="none" w:sz="0" w:space="0" w:color="auto"/>
                        <w:right w:val="none" w:sz="0" w:space="0" w:color="auto"/>
                      </w:divBdr>
                      <w:divsChild>
                        <w:div w:id="873999277">
                          <w:marLeft w:val="0"/>
                          <w:marRight w:val="0"/>
                          <w:marTop w:val="0"/>
                          <w:marBottom w:val="0"/>
                          <w:divBdr>
                            <w:top w:val="none" w:sz="0" w:space="0" w:color="auto"/>
                            <w:left w:val="none" w:sz="0" w:space="0" w:color="auto"/>
                            <w:bottom w:val="none" w:sz="0" w:space="0" w:color="auto"/>
                            <w:right w:val="none" w:sz="0" w:space="0" w:color="auto"/>
                          </w:divBdr>
                          <w:divsChild>
                            <w:div w:id="146672345">
                              <w:marLeft w:val="0"/>
                              <w:marRight w:val="0"/>
                              <w:marTop w:val="0"/>
                              <w:marBottom w:val="0"/>
                              <w:divBdr>
                                <w:top w:val="none" w:sz="0" w:space="0" w:color="auto"/>
                                <w:left w:val="none" w:sz="0" w:space="0" w:color="auto"/>
                                <w:bottom w:val="none" w:sz="0" w:space="0" w:color="auto"/>
                                <w:right w:val="none" w:sz="0" w:space="0" w:color="auto"/>
                              </w:divBdr>
                              <w:divsChild>
                                <w:div w:id="2049142271">
                                  <w:marLeft w:val="0"/>
                                  <w:marRight w:val="0"/>
                                  <w:marTop w:val="0"/>
                                  <w:marBottom w:val="0"/>
                                  <w:divBdr>
                                    <w:top w:val="none" w:sz="0" w:space="0" w:color="auto"/>
                                    <w:left w:val="none" w:sz="0" w:space="0" w:color="auto"/>
                                    <w:bottom w:val="none" w:sz="0" w:space="0" w:color="auto"/>
                                    <w:right w:val="none" w:sz="0" w:space="0" w:color="auto"/>
                                  </w:divBdr>
                                  <w:divsChild>
                                    <w:div w:id="900143172">
                                      <w:marLeft w:val="0"/>
                                      <w:marRight w:val="0"/>
                                      <w:marTop w:val="0"/>
                                      <w:marBottom w:val="0"/>
                                      <w:divBdr>
                                        <w:top w:val="none" w:sz="0" w:space="0" w:color="auto"/>
                                        <w:left w:val="none" w:sz="0" w:space="0" w:color="auto"/>
                                        <w:bottom w:val="none" w:sz="0" w:space="0" w:color="auto"/>
                                        <w:right w:val="none" w:sz="0" w:space="0" w:color="auto"/>
                                      </w:divBdr>
                                      <w:divsChild>
                                        <w:div w:id="1839342299">
                                          <w:marLeft w:val="0"/>
                                          <w:marRight w:val="0"/>
                                          <w:marTop w:val="0"/>
                                          <w:marBottom w:val="0"/>
                                          <w:divBdr>
                                            <w:top w:val="none" w:sz="0" w:space="0" w:color="auto"/>
                                            <w:left w:val="none" w:sz="0" w:space="0" w:color="auto"/>
                                            <w:bottom w:val="none" w:sz="0" w:space="0" w:color="auto"/>
                                            <w:right w:val="none" w:sz="0" w:space="0" w:color="auto"/>
                                          </w:divBdr>
                                          <w:divsChild>
                                            <w:div w:id="385882397">
                                              <w:marLeft w:val="0"/>
                                              <w:marRight w:val="0"/>
                                              <w:marTop w:val="0"/>
                                              <w:marBottom w:val="0"/>
                                              <w:divBdr>
                                                <w:top w:val="none" w:sz="0" w:space="0" w:color="auto"/>
                                                <w:left w:val="none" w:sz="0" w:space="0" w:color="auto"/>
                                                <w:bottom w:val="none" w:sz="0" w:space="0" w:color="auto"/>
                                                <w:right w:val="none" w:sz="0" w:space="0" w:color="auto"/>
                                              </w:divBdr>
                                              <w:divsChild>
                                                <w:div w:id="179272543">
                                                  <w:marLeft w:val="0"/>
                                                  <w:marRight w:val="0"/>
                                                  <w:marTop w:val="0"/>
                                                  <w:marBottom w:val="0"/>
                                                  <w:divBdr>
                                                    <w:top w:val="none" w:sz="0" w:space="0" w:color="auto"/>
                                                    <w:left w:val="none" w:sz="0" w:space="0" w:color="auto"/>
                                                    <w:bottom w:val="none" w:sz="0" w:space="0" w:color="auto"/>
                                                    <w:right w:val="none" w:sz="0" w:space="0" w:color="auto"/>
                                                  </w:divBdr>
                                                  <w:divsChild>
                                                    <w:div w:id="1804535872">
                                                      <w:marLeft w:val="0"/>
                                                      <w:marRight w:val="0"/>
                                                      <w:marTop w:val="0"/>
                                                      <w:marBottom w:val="0"/>
                                                      <w:divBdr>
                                                        <w:top w:val="none" w:sz="0" w:space="0" w:color="auto"/>
                                                        <w:left w:val="none" w:sz="0" w:space="0" w:color="auto"/>
                                                        <w:bottom w:val="none" w:sz="0" w:space="0" w:color="auto"/>
                                                        <w:right w:val="none" w:sz="0" w:space="0" w:color="auto"/>
                                                      </w:divBdr>
                                                      <w:divsChild>
                                                        <w:div w:id="21012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5182228">
      <w:bodyDiv w:val="1"/>
      <w:marLeft w:val="0"/>
      <w:marRight w:val="0"/>
      <w:marTop w:val="0"/>
      <w:marBottom w:val="0"/>
      <w:divBdr>
        <w:top w:val="none" w:sz="0" w:space="0" w:color="auto"/>
        <w:left w:val="none" w:sz="0" w:space="0" w:color="auto"/>
        <w:bottom w:val="none" w:sz="0" w:space="0" w:color="auto"/>
        <w:right w:val="none" w:sz="0" w:space="0" w:color="auto"/>
      </w:divBdr>
    </w:div>
    <w:div w:id="152242898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903053703">
      <w:bodyDiv w:val="1"/>
      <w:marLeft w:val="0"/>
      <w:marRight w:val="0"/>
      <w:marTop w:val="0"/>
      <w:marBottom w:val="0"/>
      <w:divBdr>
        <w:top w:val="none" w:sz="0" w:space="0" w:color="auto"/>
        <w:left w:val="none" w:sz="0" w:space="0" w:color="auto"/>
        <w:bottom w:val="none" w:sz="0" w:space="0" w:color="auto"/>
        <w:right w:val="none" w:sz="0" w:space="0" w:color="auto"/>
      </w:divBdr>
    </w:div>
    <w:div w:id="20778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canolacouncil.org/oil-and-meal/what-is-canola/" TargetMode="External"/><Relationship Id="rId26" Type="http://schemas.openxmlformats.org/officeDocument/2006/relationships/hyperlink" Target="https://www.foodstandards.gov.au/code/applications/Pages/A1175.aspx" TargetMode="External"/><Relationship Id="rId39" Type="http://schemas.openxmlformats.org/officeDocument/2006/relationships/hyperlink" Target="https://www.accessdata.fda.gov/scripts/fdcc/index.cfm?set=GRASNotices&amp;id=327" TargetMode="External"/><Relationship Id="rId21" Type="http://schemas.openxmlformats.org/officeDocument/2006/relationships/hyperlink" Target="http://www.abs.gov.au/AUSSTATS/abs@.nsf/Latestproducts/4324.0.55.002Main%20Features652011-12?opendocument&amp;tabname=Summary&amp;prodno=4324.0.55.002&amp;issue=2011-12&amp;num=&amp;view" TargetMode="External"/><Relationship Id="rId34" Type="http://schemas.openxmlformats.org/officeDocument/2006/relationships/hyperlink" Target="https://www.foodstandards.gov.au/publications/Pages/agentsoffoodborneill5155.aspx" TargetMode="External"/><Relationship Id="rId42" Type="http://schemas.openxmlformats.org/officeDocument/2006/relationships/hyperlink" Target="https://www.researchgate.net/publication/304913958_Canolarapeseed_protein-functionality_and_nutrition%20Accessed%20January%202020"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data.europa.eu/eli/dec_impl/2014/424/oj" TargetMode="External"/><Relationship Id="rId11" Type="http://schemas.openxmlformats.org/officeDocument/2006/relationships/header" Target="header1.xml"/><Relationship Id="rId24" Type="http://schemas.openxmlformats.org/officeDocument/2006/relationships/hyperlink" Target="http://www.fao.org/fao-who-codexalimentarius/sh-proxy/en/?lnk=1&amp;url=https%253A%252F%252Fworkspace.fao.org%252Fsites%252Fcodex%252FStandards%252FCXS%2B210-1999%252FCXS_210e.pdf" TargetMode="External"/><Relationship Id="rId32" Type="http://schemas.openxmlformats.org/officeDocument/2006/relationships/hyperlink" Target="https://www.foodstandards.gov.au/science/monitoringnutrients/ausnut/pages/default.aspx" TargetMode="External"/><Relationship Id="rId37" Type="http://schemas.openxmlformats.org/officeDocument/2006/relationships/hyperlink" Target="https://www.canada.ca/content/dam/hc-sc/migration/hc-sc/fn-an/alt_formats/pdf/pubs/label-etiquet/mustard-moutarde/index-eng.pdf%20Accessed%2019%20May%202020" TargetMode="External"/><Relationship Id="rId40" Type="http://schemas.openxmlformats.org/officeDocument/2006/relationships/hyperlink" Target="https://www.accessdata.fda.gov/scripts/fdcc/index.cfm?set=GRASNotices&amp;id=386&amp;sort=GRN_No&amp;order=DESC&amp;startrow=1&amp;type=basic&amp;search=38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oi.org/10.3390/plants5020017" TargetMode="External"/><Relationship Id="rId28" Type="http://schemas.openxmlformats.org/officeDocument/2006/relationships/hyperlink" Target="https://doi.org/10.2903/j.efsa.2020.6197" TargetMode="External"/><Relationship Id="rId36" Type="http://schemas.openxmlformats.org/officeDocument/2006/relationships/hyperlink" Target="https://www.foodstandards.gov.au/publications/Pages/25th-Australian-Total-Diet-Study.aspx" TargetMode="External"/><Relationship Id="rId49"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http://www.allergen.org/" TargetMode="External"/><Relationship Id="rId31" Type="http://schemas.openxmlformats.org/officeDocument/2006/relationships/hyperlink" Target="https://www.fsai.ie/science_health/novel_food_applications/substantial_equivalence_opinions.html" TargetMode="External"/><Relationship Id="rId44" Type="http://schemas.openxmlformats.org/officeDocument/2006/relationships/hyperlink" Target="https://admin-www.foodstandards.gov.au/science/exposure/Pages/dietaryexposureandin4438.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s://www.graintrade.org.au/sites/default/files/file/Commodity%20Standards/2015_2016/201516%20AOF%20Standards%20V14%20-%20August%201%202015.pdf" TargetMode="External"/><Relationship Id="rId27" Type="http://schemas.openxmlformats.org/officeDocument/2006/relationships/hyperlink" Target="https://efsa.onlinelibrary.wiley.com/doi/10.2903/j.efsa.2016.4593" TargetMode="External"/><Relationship Id="rId30" Type="http://schemas.openxmlformats.org/officeDocument/2006/relationships/hyperlink" Target="http://www.fao.org/tempref/codex/Meetings/CCFH/CCFH46/LMF%20Part%201-3%2030Oct%202014.pdf" TargetMode="External"/><Relationship Id="rId35" Type="http://schemas.openxmlformats.org/officeDocument/2006/relationships/hyperlink" Target="https://www.foodstandards.gov.au/consumer/importedfoods/Documents/Imported%20food%20risk%20assessment%20document.pdf" TargetMode="External"/><Relationship Id="rId43" Type="http://schemas.openxmlformats.org/officeDocument/2006/relationships/hyperlink" Target="http://www.who.int/foodsafety/publications/micro/salmonella/en/index.html" TargetMode="External"/><Relationship Id="rId48"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foodstandards.gov.au/publications/Documents/Erucic%20acid%20monograph.pdf" TargetMode="External"/><Relationship Id="rId25" Type="http://schemas.openxmlformats.org/officeDocument/2006/relationships/hyperlink" Target="http://www.fao.org/fao-who-codexalimentarius/sh-proxy/en/?lnk=1&amp;url=https%253A%252F%252Fworkspace.fao.org%252Fsites%252Fcodex%252FStandards%252FCXC%2B75-2015%252FCXC_075e.pdf" TargetMode="External"/><Relationship Id="rId33" Type="http://schemas.openxmlformats.org/officeDocument/2006/relationships/hyperlink" Target="https://www.foodstandards.gov.au/industry/novel/novelrecs/pages/default.aspx%20Accessed%20April%202020" TargetMode="External"/><Relationship Id="rId38" Type="http://schemas.openxmlformats.org/officeDocument/2006/relationships/hyperlink" Target="http://apps.who.int/food-additives-contaminants-jecfa-database/document.aspx?docID=9003" TargetMode="External"/><Relationship Id="rId46" Type="http://schemas.openxmlformats.org/officeDocument/2006/relationships/theme" Target="theme/theme1.xml"/><Relationship Id="rId20" Type="http://schemas.openxmlformats.org/officeDocument/2006/relationships/hyperlink" Target="http://www.abs.gov.au/AUSSTATS/abs@.nsf/Latestproducts/4324.0.55.002Main%20Features652011-12?opendocument&amp;tabname=Summary&amp;prodno=4324.0.55.002&amp;issue=2011-12&amp;num=&amp;view=" TargetMode="External"/><Relationship Id="rId41" Type="http://schemas.openxmlformats.org/officeDocument/2006/relationships/hyperlink" Target="https://www.fda.gov/media/106478/download"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416F30-3F8D-4E79-82B1-94EE9359CAD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D1DB1D7-3EFD-40E9-B86E-7B125AA2BF27}">
      <dgm:prSet phldrT="[Text]" custT="1"/>
      <dgm:spPr/>
      <dgm:t>
        <a:bodyPr/>
        <a:lstStyle/>
        <a:p>
          <a:r>
            <a:rPr lang="en-US" sz="900" baseline="0">
              <a:latin typeface="Arial" panose="020B0604020202020204" pitchFamily="34" charset="0"/>
              <a:cs typeface="Arial" panose="020B0604020202020204" pitchFamily="34" charset="0"/>
            </a:rPr>
            <a:t>Extraction</a:t>
          </a:r>
        </a:p>
      </dgm:t>
    </dgm:pt>
    <dgm:pt modelId="{2A053CB5-DB30-42A0-A07F-4E3DA7AD2EE0}" type="parTrans" cxnId="{8DE284A2-1081-44A1-86BB-BF1D2070D493}">
      <dgm:prSet/>
      <dgm:spPr/>
      <dgm:t>
        <a:bodyPr/>
        <a:lstStyle/>
        <a:p>
          <a:endParaRPr lang="en-US" sz="900">
            <a:latin typeface="Arial" panose="020B0604020202020204" pitchFamily="34" charset="0"/>
            <a:cs typeface="Arial" panose="020B0604020202020204" pitchFamily="34" charset="0"/>
          </a:endParaRPr>
        </a:p>
      </dgm:t>
    </dgm:pt>
    <dgm:pt modelId="{49D7B87C-65FB-4C21-A90B-14A7A9B6DF70}" type="sibTrans" cxnId="{8DE284A2-1081-44A1-86BB-BF1D2070D493}">
      <dgm:prSet/>
      <dgm:spPr/>
      <dgm:t>
        <a:bodyPr/>
        <a:lstStyle/>
        <a:p>
          <a:endParaRPr lang="en-US" sz="900">
            <a:latin typeface="Arial" panose="020B0604020202020204" pitchFamily="34" charset="0"/>
            <a:cs typeface="Arial" panose="020B0604020202020204" pitchFamily="34" charset="0"/>
          </a:endParaRPr>
        </a:p>
      </dgm:t>
    </dgm:pt>
    <dgm:pt modelId="{4B5AAE0A-78F7-4549-80CA-59F2535AE8A0}">
      <dgm:prSet phldrT="[Text]" custT="1"/>
      <dgm:spPr/>
      <dgm:t>
        <a:bodyPr/>
        <a:lstStyle/>
        <a:p>
          <a:r>
            <a:rPr lang="en-US" sz="900" baseline="0">
              <a:latin typeface="Arial" panose="020B0604020202020204" pitchFamily="34" charset="0"/>
              <a:cs typeface="Arial" panose="020B0604020202020204" pitchFamily="34" charset="0"/>
            </a:rPr>
            <a:t>Rapeseed press cake/meal is obtained from seeds that are pressed to remove oil. The press cake/meal is mixed with sodium chloride solution.</a:t>
          </a:r>
        </a:p>
      </dgm:t>
    </dgm:pt>
    <dgm:pt modelId="{15FC9CDD-5147-4321-9495-E44A91680112}" type="parTrans" cxnId="{6F7EE641-218B-402D-894E-7519BA54096A}">
      <dgm:prSet/>
      <dgm:spPr/>
      <dgm:t>
        <a:bodyPr/>
        <a:lstStyle/>
        <a:p>
          <a:endParaRPr lang="en-US" sz="900">
            <a:latin typeface="Arial" panose="020B0604020202020204" pitchFamily="34" charset="0"/>
            <a:cs typeface="Arial" panose="020B0604020202020204" pitchFamily="34" charset="0"/>
          </a:endParaRPr>
        </a:p>
      </dgm:t>
    </dgm:pt>
    <dgm:pt modelId="{39DF23B2-EE41-4CF5-B8B3-501CE5D2E2A0}" type="sibTrans" cxnId="{6F7EE641-218B-402D-894E-7519BA54096A}">
      <dgm:prSet/>
      <dgm:spPr/>
      <dgm:t>
        <a:bodyPr/>
        <a:lstStyle/>
        <a:p>
          <a:endParaRPr lang="en-US" sz="900">
            <a:latin typeface="Arial" panose="020B0604020202020204" pitchFamily="34" charset="0"/>
            <a:cs typeface="Arial" panose="020B0604020202020204" pitchFamily="34" charset="0"/>
          </a:endParaRPr>
        </a:p>
      </dgm:t>
    </dgm:pt>
    <dgm:pt modelId="{4860B3D9-90BC-4EB6-B98F-9E1BB829FBBD}">
      <dgm:prSet phldrT="[Text]" custT="1"/>
      <dgm:spPr/>
      <dgm:t>
        <a:bodyPr/>
        <a:lstStyle/>
        <a:p>
          <a:r>
            <a:rPr lang="en-US" sz="900" baseline="0">
              <a:latin typeface="Arial" panose="020B0604020202020204" pitchFamily="34" charset="0"/>
              <a:cs typeface="Arial" panose="020B0604020202020204" pitchFamily="34" charset="0"/>
            </a:rPr>
            <a:t>Diafiltration	</a:t>
          </a:r>
        </a:p>
      </dgm:t>
    </dgm:pt>
    <dgm:pt modelId="{B262B98E-C9A1-44D5-9B5C-988C9F8A51DF}" type="parTrans" cxnId="{5EBD2B43-6F9B-423B-9AF9-56E3FC4EBC43}">
      <dgm:prSet/>
      <dgm:spPr/>
      <dgm:t>
        <a:bodyPr/>
        <a:lstStyle/>
        <a:p>
          <a:endParaRPr lang="en-US" sz="900">
            <a:latin typeface="Arial" panose="020B0604020202020204" pitchFamily="34" charset="0"/>
            <a:cs typeface="Arial" panose="020B0604020202020204" pitchFamily="34" charset="0"/>
          </a:endParaRPr>
        </a:p>
      </dgm:t>
    </dgm:pt>
    <dgm:pt modelId="{2833E1D6-CDAA-4563-B22B-B92540EE563E}" type="sibTrans" cxnId="{5EBD2B43-6F9B-423B-9AF9-56E3FC4EBC43}">
      <dgm:prSet/>
      <dgm:spPr/>
      <dgm:t>
        <a:bodyPr/>
        <a:lstStyle/>
        <a:p>
          <a:endParaRPr lang="en-US" sz="900">
            <a:latin typeface="Arial" panose="020B0604020202020204" pitchFamily="34" charset="0"/>
            <a:cs typeface="Arial" panose="020B0604020202020204" pitchFamily="34" charset="0"/>
          </a:endParaRPr>
        </a:p>
      </dgm:t>
    </dgm:pt>
    <dgm:pt modelId="{CF14905D-E6C0-4ADD-959F-784AF27F286B}">
      <dgm:prSet phldrT="[Text]" custT="1"/>
      <dgm:spPr/>
      <dgm:t>
        <a:bodyPr/>
        <a:lstStyle/>
        <a:p>
          <a:r>
            <a:rPr lang="en-US" sz="900" baseline="0">
              <a:latin typeface="Arial" panose="020B0604020202020204" pitchFamily="34" charset="0"/>
              <a:cs typeface="Arial" panose="020B0604020202020204" pitchFamily="34" charset="0"/>
            </a:rPr>
            <a:t>The extract is washed.</a:t>
          </a:r>
        </a:p>
      </dgm:t>
    </dgm:pt>
    <dgm:pt modelId="{644FCFA6-4C3B-4165-99E4-5072BD046688}" type="parTrans" cxnId="{B50D3163-DB2A-4F0C-8381-9500ADAA35A0}">
      <dgm:prSet/>
      <dgm:spPr/>
      <dgm:t>
        <a:bodyPr/>
        <a:lstStyle/>
        <a:p>
          <a:endParaRPr lang="en-US" sz="900">
            <a:latin typeface="Arial" panose="020B0604020202020204" pitchFamily="34" charset="0"/>
            <a:cs typeface="Arial" panose="020B0604020202020204" pitchFamily="34" charset="0"/>
          </a:endParaRPr>
        </a:p>
      </dgm:t>
    </dgm:pt>
    <dgm:pt modelId="{3476C378-C563-46FE-A5B9-CEE3D17BE15C}" type="sibTrans" cxnId="{B50D3163-DB2A-4F0C-8381-9500ADAA35A0}">
      <dgm:prSet/>
      <dgm:spPr/>
      <dgm:t>
        <a:bodyPr/>
        <a:lstStyle/>
        <a:p>
          <a:endParaRPr lang="en-US" sz="900">
            <a:latin typeface="Arial" panose="020B0604020202020204" pitchFamily="34" charset="0"/>
            <a:cs typeface="Arial" panose="020B0604020202020204" pitchFamily="34" charset="0"/>
          </a:endParaRPr>
        </a:p>
      </dgm:t>
    </dgm:pt>
    <dgm:pt modelId="{2A361656-951C-4426-B28B-E527E3133A67}">
      <dgm:prSet phldrT="[Text]" custT="1"/>
      <dgm:spPr/>
      <dgm:t>
        <a:bodyPr/>
        <a:lstStyle/>
        <a:p>
          <a:r>
            <a:rPr lang="en-US" sz="900" baseline="0">
              <a:latin typeface="Arial" panose="020B0604020202020204" pitchFamily="34" charset="0"/>
              <a:cs typeface="Arial" panose="020B0604020202020204" pitchFamily="34" charset="0"/>
            </a:rPr>
            <a:t>Sodium bisulphite may be used to stablise the colour and prevent off-colour, sulphite levels in the final product are less than 10ppm.</a:t>
          </a:r>
        </a:p>
      </dgm:t>
    </dgm:pt>
    <dgm:pt modelId="{930186EC-9EF3-42C8-B64C-67D264FF0DFE}" type="parTrans" cxnId="{3FCB84D1-B572-4305-98C7-A726F9CEE4C5}">
      <dgm:prSet/>
      <dgm:spPr/>
      <dgm:t>
        <a:bodyPr/>
        <a:lstStyle/>
        <a:p>
          <a:endParaRPr lang="en-US" sz="900">
            <a:latin typeface="Arial" panose="020B0604020202020204" pitchFamily="34" charset="0"/>
            <a:cs typeface="Arial" panose="020B0604020202020204" pitchFamily="34" charset="0"/>
          </a:endParaRPr>
        </a:p>
      </dgm:t>
    </dgm:pt>
    <dgm:pt modelId="{CDB8CE73-A499-449B-82C5-D53259E9CAE5}" type="sibTrans" cxnId="{3FCB84D1-B572-4305-98C7-A726F9CEE4C5}">
      <dgm:prSet/>
      <dgm:spPr/>
      <dgm:t>
        <a:bodyPr/>
        <a:lstStyle/>
        <a:p>
          <a:endParaRPr lang="en-US" sz="900">
            <a:latin typeface="Arial" panose="020B0604020202020204" pitchFamily="34" charset="0"/>
            <a:cs typeface="Arial" panose="020B0604020202020204" pitchFamily="34" charset="0"/>
          </a:endParaRPr>
        </a:p>
      </dgm:t>
    </dgm:pt>
    <dgm:pt modelId="{1C3292B4-8E22-4370-9B4C-621A5D768DAA}">
      <dgm:prSet phldrT="[Text]" custT="1"/>
      <dgm:spPr/>
      <dgm:t>
        <a:bodyPr/>
        <a:lstStyle/>
        <a:p>
          <a:r>
            <a:rPr lang="en-US" sz="900" baseline="0">
              <a:latin typeface="Arial" panose="020B0604020202020204" pitchFamily="34" charset="0"/>
              <a:cs typeface="Arial" panose="020B0604020202020204" pitchFamily="34" charset="0"/>
            </a:rPr>
            <a:t>Drying</a:t>
          </a:r>
        </a:p>
      </dgm:t>
    </dgm:pt>
    <dgm:pt modelId="{C9ED87F2-A5A4-4DDD-833C-604A9379B814}" type="parTrans" cxnId="{60DA4881-7D4F-4501-83D2-EEC3299B1A94}">
      <dgm:prSet/>
      <dgm:spPr/>
      <dgm:t>
        <a:bodyPr/>
        <a:lstStyle/>
        <a:p>
          <a:endParaRPr lang="en-US" sz="900">
            <a:latin typeface="Arial" panose="020B0604020202020204" pitchFamily="34" charset="0"/>
            <a:cs typeface="Arial" panose="020B0604020202020204" pitchFamily="34" charset="0"/>
          </a:endParaRPr>
        </a:p>
      </dgm:t>
    </dgm:pt>
    <dgm:pt modelId="{32319287-45E3-4B09-B3A1-D6CD70904D1E}" type="sibTrans" cxnId="{60DA4881-7D4F-4501-83D2-EEC3299B1A94}">
      <dgm:prSet/>
      <dgm:spPr/>
      <dgm:t>
        <a:bodyPr/>
        <a:lstStyle/>
        <a:p>
          <a:endParaRPr lang="en-US" sz="900">
            <a:latin typeface="Arial" panose="020B0604020202020204" pitchFamily="34" charset="0"/>
            <a:cs typeface="Arial" panose="020B0604020202020204" pitchFamily="34" charset="0"/>
          </a:endParaRPr>
        </a:p>
      </dgm:t>
    </dgm:pt>
    <dgm:pt modelId="{B954E73C-AD87-4B78-9219-36CFFF96F033}">
      <dgm:prSet phldrT="[Text]" custT="1"/>
      <dgm:spPr/>
      <dgm:t>
        <a:bodyPr/>
        <a:lstStyle/>
        <a:p>
          <a:r>
            <a:rPr lang="en-US" sz="900" baseline="0">
              <a:latin typeface="Arial" panose="020B0604020202020204" pitchFamily="34" charset="0"/>
              <a:cs typeface="Arial" panose="020B0604020202020204" pitchFamily="34" charset="0"/>
            </a:rPr>
            <a:t>Spray dried. </a:t>
          </a:r>
        </a:p>
      </dgm:t>
    </dgm:pt>
    <dgm:pt modelId="{4CE6DA4B-29F3-413B-9987-8987A0E70CA7}" type="parTrans" cxnId="{8418F55D-CDEF-4A3D-B09F-791502AED696}">
      <dgm:prSet/>
      <dgm:spPr/>
      <dgm:t>
        <a:bodyPr/>
        <a:lstStyle/>
        <a:p>
          <a:endParaRPr lang="en-US" sz="900">
            <a:latin typeface="Arial" panose="020B0604020202020204" pitchFamily="34" charset="0"/>
            <a:cs typeface="Arial" panose="020B0604020202020204" pitchFamily="34" charset="0"/>
          </a:endParaRPr>
        </a:p>
      </dgm:t>
    </dgm:pt>
    <dgm:pt modelId="{75EB646E-BFCD-42F2-8C09-45A6EB30BF31}" type="sibTrans" cxnId="{8418F55D-CDEF-4A3D-B09F-791502AED696}">
      <dgm:prSet/>
      <dgm:spPr/>
      <dgm:t>
        <a:bodyPr/>
        <a:lstStyle/>
        <a:p>
          <a:endParaRPr lang="en-US" sz="900">
            <a:latin typeface="Arial" panose="020B0604020202020204" pitchFamily="34" charset="0"/>
            <a:cs typeface="Arial" panose="020B0604020202020204" pitchFamily="34" charset="0"/>
          </a:endParaRPr>
        </a:p>
      </dgm:t>
    </dgm:pt>
    <dgm:pt modelId="{0C6DE9D4-F2CE-402B-9DA2-20964D4F941C}">
      <dgm:prSet custT="1"/>
      <dgm:spPr/>
      <dgm:t>
        <a:bodyPr/>
        <a:lstStyle/>
        <a:p>
          <a:r>
            <a:rPr lang="en-US" sz="900" baseline="0">
              <a:latin typeface="Arial" panose="020B0604020202020204" pitchFamily="34" charset="0"/>
              <a:cs typeface="Arial" panose="020B0604020202020204" pitchFamily="34" charset="0"/>
            </a:rPr>
            <a:t>Solid/Liquid separation</a:t>
          </a:r>
        </a:p>
      </dgm:t>
    </dgm:pt>
    <dgm:pt modelId="{363D1A89-F1F4-46C2-8EA7-B5DA0012276E}" type="parTrans" cxnId="{6D91C6CC-92EB-4C87-A620-65A1538EBA49}">
      <dgm:prSet/>
      <dgm:spPr/>
      <dgm:t>
        <a:bodyPr/>
        <a:lstStyle/>
        <a:p>
          <a:endParaRPr lang="en-US" sz="900">
            <a:latin typeface="Arial" panose="020B0604020202020204" pitchFamily="34" charset="0"/>
            <a:cs typeface="Arial" panose="020B0604020202020204" pitchFamily="34" charset="0"/>
          </a:endParaRPr>
        </a:p>
      </dgm:t>
    </dgm:pt>
    <dgm:pt modelId="{43F317C9-B6D7-4AF4-81EA-A7BA012FBC65}" type="sibTrans" cxnId="{6D91C6CC-92EB-4C87-A620-65A1538EBA49}">
      <dgm:prSet/>
      <dgm:spPr/>
      <dgm:t>
        <a:bodyPr/>
        <a:lstStyle/>
        <a:p>
          <a:endParaRPr lang="en-US" sz="900">
            <a:latin typeface="Arial" panose="020B0604020202020204" pitchFamily="34" charset="0"/>
            <a:cs typeface="Arial" panose="020B0604020202020204" pitchFamily="34" charset="0"/>
          </a:endParaRPr>
        </a:p>
      </dgm:t>
    </dgm:pt>
    <dgm:pt modelId="{55E9D9A9-B1BE-405F-89C0-0EAFB560F61B}">
      <dgm:prSet custT="1"/>
      <dgm:spPr/>
      <dgm:t>
        <a:bodyPr/>
        <a:lstStyle/>
        <a:p>
          <a:r>
            <a:rPr lang="en-US" sz="900" baseline="0">
              <a:latin typeface="Arial" panose="020B0604020202020204" pitchFamily="34" charset="0"/>
              <a:cs typeface="Arial" panose="020B0604020202020204" pitchFamily="34" charset="0"/>
            </a:rPr>
            <a:t>Clarification</a:t>
          </a:r>
        </a:p>
      </dgm:t>
    </dgm:pt>
    <dgm:pt modelId="{092F2135-92FC-479F-9592-1368F84A6D37}" type="parTrans" cxnId="{E21CBF6C-BF3A-4E8E-8BBE-C142C6B68243}">
      <dgm:prSet/>
      <dgm:spPr/>
      <dgm:t>
        <a:bodyPr/>
        <a:lstStyle/>
        <a:p>
          <a:endParaRPr lang="en-US" sz="900">
            <a:latin typeface="Arial" panose="020B0604020202020204" pitchFamily="34" charset="0"/>
            <a:cs typeface="Arial" panose="020B0604020202020204" pitchFamily="34" charset="0"/>
          </a:endParaRPr>
        </a:p>
      </dgm:t>
    </dgm:pt>
    <dgm:pt modelId="{E3BC94C4-A1CD-4E7D-8034-D53BB8867D92}" type="sibTrans" cxnId="{E21CBF6C-BF3A-4E8E-8BBE-C142C6B68243}">
      <dgm:prSet/>
      <dgm:spPr/>
      <dgm:t>
        <a:bodyPr/>
        <a:lstStyle/>
        <a:p>
          <a:endParaRPr lang="en-US" sz="900">
            <a:latin typeface="Arial" panose="020B0604020202020204" pitchFamily="34" charset="0"/>
            <a:cs typeface="Arial" panose="020B0604020202020204" pitchFamily="34" charset="0"/>
          </a:endParaRPr>
        </a:p>
      </dgm:t>
    </dgm:pt>
    <dgm:pt modelId="{CCD0DA9A-DEC8-497B-BF72-9BB2DADCA431}">
      <dgm:prSet custT="1"/>
      <dgm:spPr/>
      <dgm:t>
        <a:bodyPr/>
        <a:lstStyle/>
        <a:p>
          <a:r>
            <a:rPr lang="en-US" sz="900" baseline="0">
              <a:latin typeface="Arial" panose="020B0604020202020204" pitchFamily="34" charset="0"/>
              <a:cs typeface="Arial" panose="020B0604020202020204" pitchFamily="34" charset="0"/>
            </a:rPr>
            <a:t>Concentration</a:t>
          </a:r>
        </a:p>
      </dgm:t>
    </dgm:pt>
    <dgm:pt modelId="{CE3014C8-3223-4A43-8111-5342DFD5C5D3}" type="parTrans" cxnId="{A19A7029-D63A-4E4A-9A42-C5727B694F1A}">
      <dgm:prSet/>
      <dgm:spPr/>
      <dgm:t>
        <a:bodyPr/>
        <a:lstStyle/>
        <a:p>
          <a:endParaRPr lang="en-US" sz="900">
            <a:latin typeface="Arial" panose="020B0604020202020204" pitchFamily="34" charset="0"/>
            <a:cs typeface="Arial" panose="020B0604020202020204" pitchFamily="34" charset="0"/>
          </a:endParaRPr>
        </a:p>
      </dgm:t>
    </dgm:pt>
    <dgm:pt modelId="{53164C7C-EFE9-4166-B665-22C2CE44FCB4}" type="sibTrans" cxnId="{A19A7029-D63A-4E4A-9A42-C5727B694F1A}">
      <dgm:prSet/>
      <dgm:spPr/>
      <dgm:t>
        <a:bodyPr/>
        <a:lstStyle/>
        <a:p>
          <a:endParaRPr lang="en-US" sz="900">
            <a:latin typeface="Arial" panose="020B0604020202020204" pitchFamily="34" charset="0"/>
            <a:cs typeface="Arial" panose="020B0604020202020204" pitchFamily="34" charset="0"/>
          </a:endParaRPr>
        </a:p>
      </dgm:t>
    </dgm:pt>
    <dgm:pt modelId="{F7F64230-AC56-4377-8A67-814E4CE87D5B}">
      <dgm:prSet custT="1"/>
      <dgm:spPr/>
      <dgm:t>
        <a:bodyPr/>
        <a:lstStyle/>
        <a:p>
          <a:r>
            <a:rPr lang="en-US" sz="900" baseline="0">
              <a:latin typeface="Arial" panose="020B0604020202020204" pitchFamily="34" charset="0"/>
              <a:cs typeface="Arial" panose="020B0604020202020204" pitchFamily="34" charset="0"/>
            </a:rPr>
            <a:t>The protein based solution is separated from insoluble material. </a:t>
          </a:r>
        </a:p>
      </dgm:t>
    </dgm:pt>
    <dgm:pt modelId="{2F4A7C70-D1BD-4D70-BD8F-08A5AAA5E2AC}" type="parTrans" cxnId="{E1B29364-9CD7-4F34-A7E0-8DC544D89942}">
      <dgm:prSet/>
      <dgm:spPr/>
      <dgm:t>
        <a:bodyPr/>
        <a:lstStyle/>
        <a:p>
          <a:endParaRPr lang="en-US" sz="900">
            <a:latin typeface="Arial" panose="020B0604020202020204" pitchFamily="34" charset="0"/>
            <a:cs typeface="Arial" panose="020B0604020202020204" pitchFamily="34" charset="0"/>
          </a:endParaRPr>
        </a:p>
      </dgm:t>
    </dgm:pt>
    <dgm:pt modelId="{D1448F8E-6E6F-4498-B754-1935D8432B31}" type="sibTrans" cxnId="{E1B29364-9CD7-4F34-A7E0-8DC544D89942}">
      <dgm:prSet/>
      <dgm:spPr/>
      <dgm:t>
        <a:bodyPr/>
        <a:lstStyle/>
        <a:p>
          <a:endParaRPr lang="en-US" sz="900">
            <a:latin typeface="Arial" panose="020B0604020202020204" pitchFamily="34" charset="0"/>
            <a:cs typeface="Arial" panose="020B0604020202020204" pitchFamily="34" charset="0"/>
          </a:endParaRPr>
        </a:p>
      </dgm:t>
    </dgm:pt>
    <dgm:pt modelId="{F1067D8D-E36E-48A9-9413-C761FD2A4950}">
      <dgm:prSet custT="1"/>
      <dgm:spPr/>
      <dgm:t>
        <a:bodyPr/>
        <a:lstStyle/>
        <a:p>
          <a:r>
            <a:rPr lang="en-US" sz="900" baseline="0">
              <a:latin typeface="Arial" panose="020B0604020202020204" pitchFamily="34" charset="0"/>
              <a:cs typeface="Arial" panose="020B0604020202020204" pitchFamily="34" charset="0"/>
            </a:rPr>
            <a:t>The protein based solution is now referred to as the extract. </a:t>
          </a:r>
        </a:p>
      </dgm:t>
    </dgm:pt>
    <dgm:pt modelId="{D7CF3005-38D9-4C73-BB56-972335988463}" type="parTrans" cxnId="{AFBC2A0C-1C31-4332-BA0A-8EE94917E2EE}">
      <dgm:prSet/>
      <dgm:spPr/>
      <dgm:t>
        <a:bodyPr/>
        <a:lstStyle/>
        <a:p>
          <a:endParaRPr lang="en-US" sz="900">
            <a:latin typeface="Arial" panose="020B0604020202020204" pitchFamily="34" charset="0"/>
            <a:cs typeface="Arial" panose="020B0604020202020204" pitchFamily="34" charset="0"/>
          </a:endParaRPr>
        </a:p>
      </dgm:t>
    </dgm:pt>
    <dgm:pt modelId="{EAD95993-CB42-48D8-B945-1100E119E6CC}" type="sibTrans" cxnId="{AFBC2A0C-1C31-4332-BA0A-8EE94917E2EE}">
      <dgm:prSet/>
      <dgm:spPr/>
      <dgm:t>
        <a:bodyPr/>
        <a:lstStyle/>
        <a:p>
          <a:endParaRPr lang="en-US" sz="900">
            <a:latin typeface="Arial" panose="020B0604020202020204" pitchFamily="34" charset="0"/>
            <a:cs typeface="Arial" panose="020B0604020202020204" pitchFamily="34" charset="0"/>
          </a:endParaRPr>
        </a:p>
      </dgm:t>
    </dgm:pt>
    <dgm:pt modelId="{9A121BEC-9AF8-4DB0-835C-226F72A7FD82}">
      <dgm:prSet custT="1"/>
      <dgm:spPr/>
      <dgm:t>
        <a:bodyPr/>
        <a:lstStyle/>
        <a:p>
          <a:r>
            <a:rPr lang="en-US" sz="900" baseline="0">
              <a:latin typeface="Arial" panose="020B0604020202020204" pitchFamily="34" charset="0"/>
              <a:cs typeface="Arial" panose="020B0604020202020204" pitchFamily="34" charset="0"/>
            </a:rPr>
            <a:t>pH is adjusted and the extract is clarified to remove non-protein substances.</a:t>
          </a:r>
        </a:p>
      </dgm:t>
    </dgm:pt>
    <dgm:pt modelId="{68D7288A-C2E0-419B-AD76-5E05C5E805DC}" type="parTrans" cxnId="{6C8247CE-5AEE-4645-A2D3-DA90315A7C7E}">
      <dgm:prSet/>
      <dgm:spPr/>
      <dgm:t>
        <a:bodyPr/>
        <a:lstStyle/>
        <a:p>
          <a:endParaRPr lang="en-US" sz="900">
            <a:latin typeface="Arial" panose="020B0604020202020204" pitchFamily="34" charset="0"/>
            <a:cs typeface="Arial" panose="020B0604020202020204" pitchFamily="34" charset="0"/>
          </a:endParaRPr>
        </a:p>
      </dgm:t>
    </dgm:pt>
    <dgm:pt modelId="{E77EC033-6A5E-43B7-95BB-9E2F11C79874}" type="sibTrans" cxnId="{6C8247CE-5AEE-4645-A2D3-DA90315A7C7E}">
      <dgm:prSet/>
      <dgm:spPr/>
      <dgm:t>
        <a:bodyPr/>
        <a:lstStyle/>
        <a:p>
          <a:endParaRPr lang="en-US" sz="900">
            <a:latin typeface="Arial" panose="020B0604020202020204" pitchFamily="34" charset="0"/>
            <a:cs typeface="Arial" panose="020B0604020202020204" pitchFamily="34" charset="0"/>
          </a:endParaRPr>
        </a:p>
      </dgm:t>
    </dgm:pt>
    <dgm:pt modelId="{283EF4AC-7230-437A-8B01-3A74D9B9E4E2}">
      <dgm:prSet custT="1"/>
      <dgm:spPr/>
      <dgm:t>
        <a:bodyPr/>
        <a:lstStyle/>
        <a:p>
          <a:r>
            <a:rPr lang="en-US" sz="900" baseline="0">
              <a:latin typeface="Arial" panose="020B0604020202020204" pitchFamily="34" charset="0"/>
              <a:cs typeface="Arial" panose="020B0604020202020204" pitchFamily="34" charset="0"/>
            </a:rPr>
            <a:t>Citric acid and/or ascorbic acid may be used as buffers.</a:t>
          </a:r>
        </a:p>
      </dgm:t>
    </dgm:pt>
    <dgm:pt modelId="{F61C6FCE-BBFE-4B9B-9D59-022E0F2E7295}" type="parTrans" cxnId="{32310583-0071-482D-81AE-1819237EE142}">
      <dgm:prSet/>
      <dgm:spPr/>
      <dgm:t>
        <a:bodyPr/>
        <a:lstStyle/>
        <a:p>
          <a:endParaRPr lang="en-US" sz="900">
            <a:latin typeface="Arial" panose="020B0604020202020204" pitchFamily="34" charset="0"/>
            <a:cs typeface="Arial" panose="020B0604020202020204" pitchFamily="34" charset="0"/>
          </a:endParaRPr>
        </a:p>
      </dgm:t>
    </dgm:pt>
    <dgm:pt modelId="{A72FD98E-6FE9-4DDA-B216-CEB870A4F584}" type="sibTrans" cxnId="{32310583-0071-482D-81AE-1819237EE142}">
      <dgm:prSet/>
      <dgm:spPr/>
      <dgm:t>
        <a:bodyPr/>
        <a:lstStyle/>
        <a:p>
          <a:endParaRPr lang="en-US" sz="900">
            <a:latin typeface="Arial" panose="020B0604020202020204" pitchFamily="34" charset="0"/>
            <a:cs typeface="Arial" panose="020B0604020202020204" pitchFamily="34" charset="0"/>
          </a:endParaRPr>
        </a:p>
      </dgm:t>
    </dgm:pt>
    <dgm:pt modelId="{C8A47CD0-F2A0-4EAA-A8C6-25BCED50CEBF}">
      <dgm:prSet custT="1"/>
      <dgm:spPr/>
      <dgm:t>
        <a:bodyPr/>
        <a:lstStyle/>
        <a:p>
          <a:r>
            <a:rPr lang="en-US" sz="900" baseline="0">
              <a:latin typeface="Arial" panose="020B0604020202020204" pitchFamily="34" charset="0"/>
              <a:cs typeface="Arial" panose="020B0604020202020204" pitchFamily="34" charset="0"/>
            </a:rPr>
            <a:t>The extract is concentrated. </a:t>
          </a:r>
        </a:p>
      </dgm:t>
    </dgm:pt>
    <dgm:pt modelId="{90E077D9-C26A-4340-9ACE-9F61CD69B57D}" type="parTrans" cxnId="{46E8E604-D480-4A0B-B655-273DDAB9561A}">
      <dgm:prSet/>
      <dgm:spPr/>
      <dgm:t>
        <a:bodyPr/>
        <a:lstStyle/>
        <a:p>
          <a:endParaRPr lang="en-US" sz="900">
            <a:latin typeface="Arial" panose="020B0604020202020204" pitchFamily="34" charset="0"/>
            <a:cs typeface="Arial" panose="020B0604020202020204" pitchFamily="34" charset="0"/>
          </a:endParaRPr>
        </a:p>
      </dgm:t>
    </dgm:pt>
    <dgm:pt modelId="{66F170C1-1437-4835-9DB1-2941932D8F0A}" type="sibTrans" cxnId="{46E8E604-D480-4A0B-B655-273DDAB9561A}">
      <dgm:prSet/>
      <dgm:spPr/>
      <dgm:t>
        <a:bodyPr/>
        <a:lstStyle/>
        <a:p>
          <a:endParaRPr lang="en-US" sz="900">
            <a:latin typeface="Arial" panose="020B0604020202020204" pitchFamily="34" charset="0"/>
            <a:cs typeface="Arial" panose="020B0604020202020204" pitchFamily="34" charset="0"/>
          </a:endParaRPr>
        </a:p>
      </dgm:t>
    </dgm:pt>
    <dgm:pt modelId="{BB216E6F-1B00-44A0-AFB5-BBE935A67F0A}">
      <dgm:prSet custT="1"/>
      <dgm:spPr/>
      <dgm:t>
        <a:bodyPr/>
        <a:lstStyle/>
        <a:p>
          <a:r>
            <a:rPr lang="en-US" sz="900" baseline="0">
              <a:latin typeface="Arial" panose="020B0604020202020204" pitchFamily="34" charset="0"/>
              <a:cs typeface="Arial" panose="020B0604020202020204" pitchFamily="34" charset="0"/>
            </a:rPr>
            <a:t>Residual fat and precipitates are removed by solid/liquid separation. e.g. membrance filter press or centrifugation. </a:t>
          </a:r>
        </a:p>
      </dgm:t>
    </dgm:pt>
    <dgm:pt modelId="{0481074C-068A-4BA5-9F24-9D95F7C7F554}" type="parTrans" cxnId="{FA2AA572-4A52-4264-AF83-AA8135D5F547}">
      <dgm:prSet/>
      <dgm:spPr/>
      <dgm:t>
        <a:bodyPr/>
        <a:lstStyle/>
        <a:p>
          <a:endParaRPr lang="en-US" sz="900">
            <a:latin typeface="Arial" panose="020B0604020202020204" pitchFamily="34" charset="0"/>
            <a:cs typeface="Arial" panose="020B0604020202020204" pitchFamily="34" charset="0"/>
          </a:endParaRPr>
        </a:p>
      </dgm:t>
    </dgm:pt>
    <dgm:pt modelId="{0AE8DDE0-9BB1-48B3-A2A1-854EA5005314}" type="sibTrans" cxnId="{FA2AA572-4A52-4264-AF83-AA8135D5F547}">
      <dgm:prSet/>
      <dgm:spPr/>
      <dgm:t>
        <a:bodyPr/>
        <a:lstStyle/>
        <a:p>
          <a:endParaRPr lang="en-US" sz="900">
            <a:latin typeface="Arial" panose="020B0604020202020204" pitchFamily="34" charset="0"/>
            <a:cs typeface="Arial" panose="020B0604020202020204" pitchFamily="34" charset="0"/>
          </a:endParaRPr>
        </a:p>
      </dgm:t>
    </dgm:pt>
    <dgm:pt modelId="{794B0D9E-679F-48F4-AC40-4DD9121C2C6E}">
      <dgm:prSet phldrT="[Text]" custT="1"/>
      <dgm:spPr/>
      <dgm:t>
        <a:bodyPr/>
        <a:lstStyle/>
        <a:p>
          <a:r>
            <a:rPr lang="en-US" sz="900" baseline="0">
              <a:latin typeface="Arial" panose="020B0604020202020204" pitchFamily="34" charset="0"/>
              <a:cs typeface="Arial" panose="020B0604020202020204" pitchFamily="34" charset="0"/>
            </a:rPr>
            <a:t>This concentrates the protein and removes anti-nutritional factors. e.g. erucic acid, polyphenols, phytic acid, glucosinolates. </a:t>
          </a:r>
        </a:p>
      </dgm:t>
    </dgm:pt>
    <dgm:pt modelId="{9ACB28C8-825B-487A-AD58-7574E28EB11A}" type="parTrans" cxnId="{A99F47C7-C9C5-466D-9699-1EE6A8DD0238}">
      <dgm:prSet/>
      <dgm:spPr/>
      <dgm:t>
        <a:bodyPr/>
        <a:lstStyle/>
        <a:p>
          <a:endParaRPr lang="en-US" sz="900">
            <a:latin typeface="Arial" panose="020B0604020202020204" pitchFamily="34" charset="0"/>
            <a:cs typeface="Arial" panose="020B0604020202020204" pitchFamily="34" charset="0"/>
          </a:endParaRPr>
        </a:p>
      </dgm:t>
    </dgm:pt>
    <dgm:pt modelId="{A4AF9C99-9A5D-4D06-9F6E-1451CC199CF1}" type="sibTrans" cxnId="{A99F47C7-C9C5-466D-9699-1EE6A8DD0238}">
      <dgm:prSet/>
      <dgm:spPr/>
      <dgm:t>
        <a:bodyPr/>
        <a:lstStyle/>
        <a:p>
          <a:endParaRPr lang="en-US" sz="900">
            <a:latin typeface="Arial" panose="020B0604020202020204" pitchFamily="34" charset="0"/>
            <a:cs typeface="Arial" panose="020B0604020202020204" pitchFamily="34" charset="0"/>
          </a:endParaRPr>
        </a:p>
      </dgm:t>
    </dgm:pt>
    <dgm:pt modelId="{58AA9AD0-850F-4DEE-AE08-61D51C8B53F9}">
      <dgm:prSet custT="1"/>
      <dgm:spPr/>
      <dgm:t>
        <a:bodyPr/>
        <a:lstStyle/>
        <a:p>
          <a:r>
            <a:rPr lang="en-US" sz="900" baseline="0">
              <a:latin typeface="Arial" panose="020B0604020202020204" pitchFamily="34" charset="0"/>
              <a:cs typeface="Arial" panose="020B0604020202020204" pitchFamily="34" charset="0"/>
            </a:rPr>
            <a:t>Rapeseed protein</a:t>
          </a:r>
        </a:p>
      </dgm:t>
    </dgm:pt>
    <dgm:pt modelId="{C82B7899-E46A-48EC-A2CE-0BF07D981357}" type="parTrans" cxnId="{A8F7A9DE-F03C-49A7-987E-74CEF841FE35}">
      <dgm:prSet/>
      <dgm:spPr/>
      <dgm:t>
        <a:bodyPr/>
        <a:lstStyle/>
        <a:p>
          <a:endParaRPr lang="en-US" sz="900">
            <a:latin typeface="Arial" panose="020B0604020202020204" pitchFamily="34" charset="0"/>
            <a:cs typeface="Arial" panose="020B0604020202020204" pitchFamily="34" charset="0"/>
          </a:endParaRPr>
        </a:p>
      </dgm:t>
    </dgm:pt>
    <dgm:pt modelId="{4CE2D2F8-FF6D-479A-8541-B4750077A4BF}" type="sibTrans" cxnId="{A8F7A9DE-F03C-49A7-987E-74CEF841FE35}">
      <dgm:prSet/>
      <dgm:spPr/>
      <dgm:t>
        <a:bodyPr/>
        <a:lstStyle/>
        <a:p>
          <a:endParaRPr lang="en-US" sz="900">
            <a:latin typeface="Arial" panose="020B0604020202020204" pitchFamily="34" charset="0"/>
            <a:cs typeface="Arial" panose="020B0604020202020204" pitchFamily="34" charset="0"/>
          </a:endParaRPr>
        </a:p>
      </dgm:t>
    </dgm:pt>
    <dgm:pt modelId="{3AB7BB21-DDD6-4908-9CD3-6AF724C9B83D}">
      <dgm:prSet custT="1"/>
      <dgm:spPr/>
      <dgm:t>
        <a:bodyPr/>
        <a:lstStyle/>
        <a:p>
          <a:pPr algn="l"/>
          <a:r>
            <a:rPr lang="en-US" sz="900" baseline="0">
              <a:latin typeface="Arial" panose="020B0604020202020204" pitchFamily="34" charset="0"/>
              <a:cs typeface="Arial" panose="020B0604020202020204" pitchFamily="34" charset="0"/>
            </a:rPr>
            <a:t>Maltodextrin or other carbohydrate may be added to the end product, depending on customer needs.</a:t>
          </a:r>
          <a:endParaRPr lang="en-US" sz="900" b="1" baseline="0">
            <a:latin typeface="Arial" panose="020B0604020202020204" pitchFamily="34" charset="0"/>
            <a:cs typeface="Arial" panose="020B0604020202020204" pitchFamily="34" charset="0"/>
          </a:endParaRPr>
        </a:p>
      </dgm:t>
    </dgm:pt>
    <dgm:pt modelId="{25B08AA7-267C-4EC2-9C58-8BF5111AFF75}" type="parTrans" cxnId="{42BD1560-421A-4799-A1D7-BEBA0BF299FD}">
      <dgm:prSet/>
      <dgm:spPr/>
      <dgm:t>
        <a:bodyPr/>
        <a:lstStyle/>
        <a:p>
          <a:endParaRPr lang="en-US" sz="900">
            <a:latin typeface="Arial" panose="020B0604020202020204" pitchFamily="34" charset="0"/>
            <a:cs typeface="Arial" panose="020B0604020202020204" pitchFamily="34" charset="0"/>
          </a:endParaRPr>
        </a:p>
      </dgm:t>
    </dgm:pt>
    <dgm:pt modelId="{3BA1D8F9-912F-47B1-B213-DBD40140C4E7}" type="sibTrans" cxnId="{42BD1560-421A-4799-A1D7-BEBA0BF299FD}">
      <dgm:prSet/>
      <dgm:spPr/>
      <dgm:t>
        <a:bodyPr/>
        <a:lstStyle/>
        <a:p>
          <a:endParaRPr lang="en-US" sz="900">
            <a:latin typeface="Arial" panose="020B0604020202020204" pitchFamily="34" charset="0"/>
            <a:cs typeface="Arial" panose="020B0604020202020204" pitchFamily="34" charset="0"/>
          </a:endParaRPr>
        </a:p>
      </dgm:t>
    </dgm:pt>
    <dgm:pt modelId="{EA66B2C7-25A3-47FF-B193-20E666143AEA}">
      <dgm:prSet custT="1"/>
      <dgm:spPr/>
      <dgm:t>
        <a:bodyPr/>
        <a:lstStyle/>
        <a:p>
          <a:r>
            <a:rPr lang="en-US" sz="900">
              <a:latin typeface="Arial" panose="020B0604020202020204" pitchFamily="34" charset="0"/>
              <a:cs typeface="Arial" panose="020B0604020202020204" pitchFamily="34" charset="0"/>
            </a:rPr>
            <a:t>Rapeseed  seeds and oil</a:t>
          </a:r>
        </a:p>
      </dgm:t>
    </dgm:pt>
    <dgm:pt modelId="{94399BA3-1FDC-4CDB-B652-F586CF26C0BD}" type="parTrans" cxnId="{39827E0A-85B5-4AFD-99C3-968AF3D1BF82}">
      <dgm:prSet/>
      <dgm:spPr/>
      <dgm:t>
        <a:bodyPr/>
        <a:lstStyle/>
        <a:p>
          <a:endParaRPr lang="en-US" sz="900">
            <a:latin typeface="Arial" panose="020B0604020202020204" pitchFamily="34" charset="0"/>
            <a:cs typeface="Arial" panose="020B0604020202020204" pitchFamily="34" charset="0"/>
          </a:endParaRPr>
        </a:p>
      </dgm:t>
    </dgm:pt>
    <dgm:pt modelId="{E277F830-3B76-4012-BD5B-D49E88B735D5}" type="sibTrans" cxnId="{39827E0A-85B5-4AFD-99C3-968AF3D1BF82}">
      <dgm:prSet/>
      <dgm:spPr/>
      <dgm:t>
        <a:bodyPr/>
        <a:lstStyle/>
        <a:p>
          <a:endParaRPr lang="en-US" sz="900">
            <a:latin typeface="Arial" panose="020B0604020202020204" pitchFamily="34" charset="0"/>
            <a:cs typeface="Arial" panose="020B0604020202020204" pitchFamily="34" charset="0"/>
          </a:endParaRPr>
        </a:p>
      </dgm:t>
    </dgm:pt>
    <dgm:pt modelId="{0C56EBD5-0C3C-4AF2-B2F0-6577D28A5B7F}">
      <dgm:prSet custT="1"/>
      <dgm:spPr/>
      <dgm:t>
        <a:bodyPr/>
        <a:lstStyle/>
        <a:p>
          <a:r>
            <a:rPr lang="en-US" sz="900" baseline="0">
              <a:latin typeface="Arial" panose="020B0604020202020204" pitchFamily="34" charset="0"/>
              <a:cs typeface="Arial" panose="020B0604020202020204" pitchFamily="34" charset="0"/>
            </a:rPr>
            <a:t>Rapeseed seeds and oil are obtained from </a:t>
          </a:r>
          <a:r>
            <a:rPr lang="en-US" sz="900" baseline="0">
              <a:solidFill>
                <a:sysClr val="windowText" lastClr="000000"/>
              </a:solidFill>
              <a:latin typeface="Arial" panose="020B0604020202020204" pitchFamily="34" charset="0"/>
              <a:cs typeface="Arial" panose="020B0604020202020204" pitchFamily="34" charset="0"/>
            </a:rPr>
            <a:t>modern cultivars of </a:t>
          </a:r>
          <a:r>
            <a:rPr lang="en-GB" sz="900" i="1">
              <a:latin typeface="Arial" panose="020B0604020202020204" pitchFamily="34" charset="0"/>
              <a:cs typeface="Arial" panose="020B0604020202020204" pitchFamily="34" charset="0"/>
            </a:rPr>
            <a:t>Brassica napus, Brassica rapa</a:t>
          </a:r>
          <a:r>
            <a:rPr lang="en-GB" sz="900">
              <a:latin typeface="Arial" panose="020B0604020202020204" pitchFamily="34" charset="0"/>
              <a:cs typeface="Arial" panose="020B0604020202020204" pitchFamily="34" charset="0"/>
            </a:rPr>
            <a:t> and </a:t>
          </a:r>
          <a:r>
            <a:rPr lang="en-GB" sz="900" i="1">
              <a:latin typeface="Arial" panose="020B0604020202020204" pitchFamily="34" charset="0"/>
              <a:cs typeface="Arial" panose="020B0604020202020204" pitchFamily="34" charset="0"/>
            </a:rPr>
            <a:t>Brassica juncea</a:t>
          </a:r>
          <a:r>
            <a:rPr lang="en-GB" sz="900">
              <a:latin typeface="Arial" panose="020B0604020202020204" pitchFamily="34" charset="0"/>
              <a:cs typeface="Arial" panose="020B0604020202020204" pitchFamily="34" charset="0"/>
            </a:rPr>
            <a:t> that are low in erucic acid and glucosinolates. </a:t>
          </a:r>
          <a:r>
            <a:rPr lang="en-US" sz="900" baseline="0">
              <a:latin typeface="Arial" panose="020B0604020202020204" pitchFamily="34" charset="0"/>
              <a:cs typeface="Arial" panose="020B0604020202020204" pitchFamily="34" charset="0"/>
            </a:rPr>
            <a:t> </a:t>
          </a:r>
          <a:endParaRPr lang="en-US" sz="900">
            <a:latin typeface="Arial" panose="020B0604020202020204" pitchFamily="34" charset="0"/>
            <a:cs typeface="Arial" panose="020B0604020202020204" pitchFamily="34" charset="0"/>
          </a:endParaRPr>
        </a:p>
      </dgm:t>
    </dgm:pt>
    <dgm:pt modelId="{38C12804-4B9D-41B3-8E59-36240F2FE195}" type="parTrans" cxnId="{B505BE69-DA00-4182-B8B1-F021B04D9B23}">
      <dgm:prSet/>
      <dgm:spPr/>
      <dgm:t>
        <a:bodyPr/>
        <a:lstStyle/>
        <a:p>
          <a:endParaRPr lang="en-US" sz="900">
            <a:latin typeface="Arial" panose="020B0604020202020204" pitchFamily="34" charset="0"/>
            <a:cs typeface="Arial" panose="020B0604020202020204" pitchFamily="34" charset="0"/>
          </a:endParaRPr>
        </a:p>
      </dgm:t>
    </dgm:pt>
    <dgm:pt modelId="{D03CC49F-A96F-4874-B497-C6B52C0C1F56}" type="sibTrans" cxnId="{B505BE69-DA00-4182-B8B1-F021B04D9B23}">
      <dgm:prSet/>
      <dgm:spPr/>
      <dgm:t>
        <a:bodyPr/>
        <a:lstStyle/>
        <a:p>
          <a:endParaRPr lang="en-US" sz="900">
            <a:latin typeface="Arial" panose="020B0604020202020204" pitchFamily="34" charset="0"/>
            <a:cs typeface="Arial" panose="020B0604020202020204" pitchFamily="34" charset="0"/>
          </a:endParaRPr>
        </a:p>
      </dgm:t>
    </dgm:pt>
    <dgm:pt modelId="{643C8E35-C01F-4335-A2CA-B1E003C8B9BF}" type="pres">
      <dgm:prSet presAssocID="{72416F30-3F8D-4E79-82B1-94EE9359CAD4}" presName="linearFlow" presStyleCnt="0">
        <dgm:presLayoutVars>
          <dgm:dir/>
          <dgm:animLvl val="lvl"/>
          <dgm:resizeHandles val="exact"/>
        </dgm:presLayoutVars>
      </dgm:prSet>
      <dgm:spPr/>
      <dgm:t>
        <a:bodyPr/>
        <a:lstStyle/>
        <a:p>
          <a:endParaRPr lang="en-US"/>
        </a:p>
      </dgm:t>
    </dgm:pt>
    <dgm:pt modelId="{1BCD0F3A-B0B5-4403-9B75-2CB5BEBF12F9}" type="pres">
      <dgm:prSet presAssocID="{EA66B2C7-25A3-47FF-B193-20E666143AEA}" presName="composite" presStyleCnt="0"/>
      <dgm:spPr/>
    </dgm:pt>
    <dgm:pt modelId="{414B85FC-E722-4E60-A1B2-E0983193F162}" type="pres">
      <dgm:prSet presAssocID="{EA66B2C7-25A3-47FF-B193-20E666143AEA}" presName="parentText" presStyleLbl="alignNode1" presStyleIdx="0" presStyleCnt="8" custScaleX="174057" custScaleY="121306" custLinFactX="-944" custLinFactNeighborX="-100000" custLinFactNeighborY="-4004">
        <dgm:presLayoutVars>
          <dgm:chMax val="1"/>
          <dgm:bulletEnabled val="1"/>
        </dgm:presLayoutVars>
      </dgm:prSet>
      <dgm:spPr/>
      <dgm:t>
        <a:bodyPr/>
        <a:lstStyle/>
        <a:p>
          <a:endParaRPr lang="en-US"/>
        </a:p>
      </dgm:t>
    </dgm:pt>
    <dgm:pt modelId="{85307543-4751-4563-9FA5-E46D38B360EB}" type="pres">
      <dgm:prSet presAssocID="{EA66B2C7-25A3-47FF-B193-20E666143AEA}" presName="descendantText" presStyleLbl="alignAcc1" presStyleIdx="0" presStyleCnt="8" custScaleX="89984" custLinFactNeighborX="-6716" custLinFactNeighborY="64729">
        <dgm:presLayoutVars>
          <dgm:bulletEnabled val="1"/>
        </dgm:presLayoutVars>
      </dgm:prSet>
      <dgm:spPr/>
      <dgm:t>
        <a:bodyPr/>
        <a:lstStyle/>
        <a:p>
          <a:endParaRPr lang="en-US"/>
        </a:p>
      </dgm:t>
    </dgm:pt>
    <dgm:pt modelId="{E8E4FB16-2E59-4FBA-A6E3-ABC63A6DF2B1}" type="pres">
      <dgm:prSet presAssocID="{E277F830-3B76-4012-BD5B-D49E88B735D5}" presName="sp" presStyleCnt="0"/>
      <dgm:spPr/>
    </dgm:pt>
    <dgm:pt modelId="{0FAC2F4F-36C7-43E6-ABEA-055E947695DF}" type="pres">
      <dgm:prSet presAssocID="{3D1DB1D7-3EFD-40E9-B86E-7B125AA2BF27}" presName="composite" presStyleCnt="0"/>
      <dgm:spPr/>
    </dgm:pt>
    <dgm:pt modelId="{CD966911-84A1-440A-B551-EA337A04B2FC}" type="pres">
      <dgm:prSet presAssocID="{3D1DB1D7-3EFD-40E9-B86E-7B125AA2BF27}" presName="parentText" presStyleLbl="alignNode1" presStyleIdx="1" presStyleCnt="8" custScaleX="177200" custScaleY="133714" custLinFactX="-8911" custLinFactNeighborX="-100000" custLinFactNeighborY="-8138">
        <dgm:presLayoutVars>
          <dgm:chMax val="1"/>
          <dgm:bulletEnabled val="1"/>
        </dgm:presLayoutVars>
      </dgm:prSet>
      <dgm:spPr/>
      <dgm:t>
        <a:bodyPr/>
        <a:lstStyle/>
        <a:p>
          <a:endParaRPr lang="en-US"/>
        </a:p>
      </dgm:t>
    </dgm:pt>
    <dgm:pt modelId="{2273FFEC-BD7E-44DD-BA8D-0E81DC84C361}" type="pres">
      <dgm:prSet presAssocID="{3D1DB1D7-3EFD-40E9-B86E-7B125AA2BF27}" presName="descendantText" presStyleLbl="alignAcc1" presStyleIdx="1" presStyleCnt="8" custScaleX="92162" custScaleY="100000" custLinFactNeighborX="-6225" custLinFactNeighborY="2284">
        <dgm:presLayoutVars>
          <dgm:bulletEnabled val="1"/>
        </dgm:presLayoutVars>
      </dgm:prSet>
      <dgm:spPr/>
      <dgm:t>
        <a:bodyPr/>
        <a:lstStyle/>
        <a:p>
          <a:endParaRPr lang="en-US"/>
        </a:p>
      </dgm:t>
    </dgm:pt>
    <dgm:pt modelId="{C35E3F7A-0A2E-4506-91B3-EB8CE32EC6D4}" type="pres">
      <dgm:prSet presAssocID="{49D7B87C-65FB-4C21-A90B-14A7A9B6DF70}" presName="sp" presStyleCnt="0"/>
      <dgm:spPr/>
    </dgm:pt>
    <dgm:pt modelId="{8E57C556-B15C-474C-A2CE-45DAD20FA8FE}" type="pres">
      <dgm:prSet presAssocID="{0C6DE9D4-F2CE-402B-9DA2-20964D4F941C}" presName="composite" presStyleCnt="0"/>
      <dgm:spPr/>
    </dgm:pt>
    <dgm:pt modelId="{526E34C8-0E21-4685-BADA-F27CDBC8917F}" type="pres">
      <dgm:prSet presAssocID="{0C6DE9D4-F2CE-402B-9DA2-20964D4F941C}" presName="parentText" presStyleLbl="alignNode1" presStyleIdx="2" presStyleCnt="8" custScaleX="193644" custScaleY="115720" custLinFactX="-19279" custLinFactNeighborX="-100000" custLinFactNeighborY="-13275">
        <dgm:presLayoutVars>
          <dgm:chMax val="1"/>
          <dgm:bulletEnabled val="1"/>
        </dgm:presLayoutVars>
      </dgm:prSet>
      <dgm:spPr/>
      <dgm:t>
        <a:bodyPr/>
        <a:lstStyle/>
        <a:p>
          <a:endParaRPr lang="en-US"/>
        </a:p>
      </dgm:t>
    </dgm:pt>
    <dgm:pt modelId="{ED89008B-C52C-4286-81DE-EF941A273364}" type="pres">
      <dgm:prSet presAssocID="{0C6DE9D4-F2CE-402B-9DA2-20964D4F941C}" presName="descendantText" presStyleLbl="alignAcc1" presStyleIdx="2" presStyleCnt="8" custScaleX="96921" custScaleY="105171" custLinFactNeighborX="-4280" custLinFactNeighborY="-19689">
        <dgm:presLayoutVars>
          <dgm:bulletEnabled val="1"/>
        </dgm:presLayoutVars>
      </dgm:prSet>
      <dgm:spPr/>
      <dgm:t>
        <a:bodyPr/>
        <a:lstStyle/>
        <a:p>
          <a:endParaRPr lang="en-US"/>
        </a:p>
      </dgm:t>
    </dgm:pt>
    <dgm:pt modelId="{ACF0FEAC-B44D-4E16-B248-0EC3ECC713AC}" type="pres">
      <dgm:prSet presAssocID="{43F317C9-B6D7-4AF4-81EA-A7BA012FBC65}" presName="sp" presStyleCnt="0"/>
      <dgm:spPr/>
    </dgm:pt>
    <dgm:pt modelId="{4CE25430-3B2E-48E4-B3B5-2D7908EF27C1}" type="pres">
      <dgm:prSet presAssocID="{55E9D9A9-B1BE-405F-89C0-0EAFB560F61B}" presName="composite" presStyleCnt="0"/>
      <dgm:spPr/>
    </dgm:pt>
    <dgm:pt modelId="{2EE45D5C-F3D3-48BF-8B21-F476B51D9B0B}" type="pres">
      <dgm:prSet presAssocID="{55E9D9A9-B1BE-405F-89C0-0EAFB560F61B}" presName="parentText" presStyleLbl="alignNode1" presStyleIdx="3" presStyleCnt="8" custScaleX="188604" custScaleY="122811" custLinFactX="-22868" custLinFactNeighborX="-100000" custLinFactNeighborY="-25083">
        <dgm:presLayoutVars>
          <dgm:chMax val="1"/>
          <dgm:bulletEnabled val="1"/>
        </dgm:presLayoutVars>
      </dgm:prSet>
      <dgm:spPr/>
      <dgm:t>
        <a:bodyPr/>
        <a:lstStyle/>
        <a:p>
          <a:endParaRPr lang="en-US"/>
        </a:p>
      </dgm:t>
    </dgm:pt>
    <dgm:pt modelId="{9063DA7A-A4B6-4402-BC31-F5CE665308B3}" type="pres">
      <dgm:prSet presAssocID="{55E9D9A9-B1BE-405F-89C0-0EAFB560F61B}" presName="descendantText" presStyleLbl="alignAcc1" presStyleIdx="3" presStyleCnt="8" custScaleX="97052" custScaleY="154446" custLinFactNeighborX="-3435" custLinFactNeighborY="-44165">
        <dgm:presLayoutVars>
          <dgm:bulletEnabled val="1"/>
        </dgm:presLayoutVars>
      </dgm:prSet>
      <dgm:spPr/>
      <dgm:t>
        <a:bodyPr/>
        <a:lstStyle/>
        <a:p>
          <a:endParaRPr lang="en-US"/>
        </a:p>
      </dgm:t>
    </dgm:pt>
    <dgm:pt modelId="{5E840C8E-AEED-4E12-99F9-4E4C223D7B63}" type="pres">
      <dgm:prSet presAssocID="{E3BC94C4-A1CD-4E7D-8034-D53BB8867D92}" presName="sp" presStyleCnt="0"/>
      <dgm:spPr/>
    </dgm:pt>
    <dgm:pt modelId="{2C7C1122-282F-491F-964A-CCECE0E81EBC}" type="pres">
      <dgm:prSet presAssocID="{CCD0DA9A-DEC8-497B-BF72-9BB2DADCA431}" presName="composite" presStyleCnt="0"/>
      <dgm:spPr/>
    </dgm:pt>
    <dgm:pt modelId="{73936F59-1CC1-4214-AF8B-86DF41EE5DC1}" type="pres">
      <dgm:prSet presAssocID="{CCD0DA9A-DEC8-497B-BF72-9BB2DADCA431}" presName="parentText" presStyleLbl="alignNode1" presStyleIdx="4" presStyleCnt="8" custScaleX="202349" custScaleY="136270" custLinFactX="-19499" custLinFactNeighborX="-100000" custLinFactNeighborY="-37627">
        <dgm:presLayoutVars>
          <dgm:chMax val="1"/>
          <dgm:bulletEnabled val="1"/>
        </dgm:presLayoutVars>
      </dgm:prSet>
      <dgm:spPr/>
      <dgm:t>
        <a:bodyPr/>
        <a:lstStyle/>
        <a:p>
          <a:endParaRPr lang="en-US"/>
        </a:p>
      </dgm:t>
    </dgm:pt>
    <dgm:pt modelId="{7021F9DA-B63C-4E12-AA59-6DBFB3CD7D26}" type="pres">
      <dgm:prSet presAssocID="{CCD0DA9A-DEC8-497B-BF72-9BB2DADCA431}" presName="descendantText" presStyleLbl="alignAcc1" presStyleIdx="4" presStyleCnt="8" custScaleX="97161" custLinFactNeighborX="-2896" custLinFactNeighborY="-69596">
        <dgm:presLayoutVars>
          <dgm:bulletEnabled val="1"/>
        </dgm:presLayoutVars>
      </dgm:prSet>
      <dgm:spPr/>
      <dgm:t>
        <a:bodyPr/>
        <a:lstStyle/>
        <a:p>
          <a:endParaRPr lang="en-US"/>
        </a:p>
      </dgm:t>
    </dgm:pt>
    <dgm:pt modelId="{15EFFF37-6A17-431E-9B3F-545B1C2A9F59}" type="pres">
      <dgm:prSet presAssocID="{53164C7C-EFE9-4166-B665-22C2CE44FCB4}" presName="sp" presStyleCnt="0"/>
      <dgm:spPr/>
    </dgm:pt>
    <dgm:pt modelId="{E2C730E2-5EA9-4A57-96B9-A3BCC4CF754A}" type="pres">
      <dgm:prSet presAssocID="{4860B3D9-90BC-4EB6-B98F-9E1BB829FBBD}" presName="composite" presStyleCnt="0"/>
      <dgm:spPr/>
    </dgm:pt>
    <dgm:pt modelId="{AE52AEF7-28EC-4FAB-9626-BCCF81D561DD}" type="pres">
      <dgm:prSet presAssocID="{4860B3D9-90BC-4EB6-B98F-9E1BB829FBBD}" presName="parentText" presStyleLbl="alignNode1" presStyleIdx="5" presStyleCnt="8" custScaleX="203871" custScaleY="131197" custLinFactX="-15718" custLinFactNeighborX="-100000" custLinFactNeighborY="-55277">
        <dgm:presLayoutVars>
          <dgm:chMax val="1"/>
          <dgm:bulletEnabled val="1"/>
        </dgm:presLayoutVars>
      </dgm:prSet>
      <dgm:spPr/>
      <dgm:t>
        <a:bodyPr/>
        <a:lstStyle/>
        <a:p>
          <a:endParaRPr lang="en-US"/>
        </a:p>
      </dgm:t>
    </dgm:pt>
    <dgm:pt modelId="{C9151472-84AF-4E9A-87E7-0699EC089A4B}" type="pres">
      <dgm:prSet presAssocID="{4860B3D9-90BC-4EB6-B98F-9E1BB829FBBD}" presName="descendantText" presStyleLbl="alignAcc1" presStyleIdx="5" presStyleCnt="8" custScaleX="97687" custScaleY="219516" custLinFactNeighborX="-2570" custLinFactNeighborY="-96307">
        <dgm:presLayoutVars>
          <dgm:bulletEnabled val="1"/>
        </dgm:presLayoutVars>
      </dgm:prSet>
      <dgm:spPr/>
      <dgm:t>
        <a:bodyPr/>
        <a:lstStyle/>
        <a:p>
          <a:endParaRPr lang="en-US"/>
        </a:p>
      </dgm:t>
    </dgm:pt>
    <dgm:pt modelId="{580FEA7E-7025-4870-9344-AA60F14852D9}" type="pres">
      <dgm:prSet presAssocID="{2833E1D6-CDAA-4563-B22B-B92540EE563E}" presName="sp" presStyleCnt="0"/>
      <dgm:spPr/>
    </dgm:pt>
    <dgm:pt modelId="{5563060E-D170-4C33-BCF3-AAACB366C82C}" type="pres">
      <dgm:prSet presAssocID="{1C3292B4-8E22-4370-9B4C-621A5D768DAA}" presName="composite" presStyleCnt="0"/>
      <dgm:spPr/>
    </dgm:pt>
    <dgm:pt modelId="{A8812651-7487-4DA9-A2AA-306DDFC0D6EE}" type="pres">
      <dgm:prSet presAssocID="{1C3292B4-8E22-4370-9B4C-621A5D768DAA}" presName="parentText" presStyleLbl="alignNode1" presStyleIdx="6" presStyleCnt="8" custScaleX="189023" custScaleY="134789" custLinFactX="-1991" custLinFactNeighborX="-100000" custLinFactNeighborY="-60474">
        <dgm:presLayoutVars>
          <dgm:chMax val="1"/>
          <dgm:bulletEnabled val="1"/>
        </dgm:presLayoutVars>
      </dgm:prSet>
      <dgm:spPr/>
      <dgm:t>
        <a:bodyPr/>
        <a:lstStyle/>
        <a:p>
          <a:endParaRPr lang="en-US"/>
        </a:p>
      </dgm:t>
    </dgm:pt>
    <dgm:pt modelId="{9982171F-3631-4B59-BFB9-BA76DA60B28C}" type="pres">
      <dgm:prSet presAssocID="{1C3292B4-8E22-4370-9B4C-621A5D768DAA}" presName="descendantText" presStyleLbl="alignAcc1" presStyleIdx="6" presStyleCnt="8" custScaleX="97892" custLinFactY="-12090" custLinFactNeighborX="-1199" custLinFactNeighborY="-100000">
        <dgm:presLayoutVars>
          <dgm:bulletEnabled val="1"/>
        </dgm:presLayoutVars>
      </dgm:prSet>
      <dgm:spPr/>
      <dgm:t>
        <a:bodyPr/>
        <a:lstStyle/>
        <a:p>
          <a:endParaRPr lang="en-US"/>
        </a:p>
      </dgm:t>
    </dgm:pt>
    <dgm:pt modelId="{21E37A29-B96D-4705-9AE8-1D4478D1BB27}" type="pres">
      <dgm:prSet presAssocID="{32319287-45E3-4B09-B3A1-D6CD70904D1E}" presName="sp" presStyleCnt="0"/>
      <dgm:spPr/>
    </dgm:pt>
    <dgm:pt modelId="{A7015F9C-7961-4DD7-A9CC-37D61C68D65E}" type="pres">
      <dgm:prSet presAssocID="{58AA9AD0-850F-4DEE-AE08-61D51C8B53F9}" presName="composite" presStyleCnt="0"/>
      <dgm:spPr/>
    </dgm:pt>
    <dgm:pt modelId="{B9E483C2-9B1F-4BF6-8057-6AF49543D7D6}" type="pres">
      <dgm:prSet presAssocID="{58AA9AD0-850F-4DEE-AE08-61D51C8B53F9}" presName="parentText" presStyleLbl="alignNode1" presStyleIdx="7" presStyleCnt="8" custScaleX="204640" custScaleY="145642" custLinFactX="-15049" custLinFactNeighborX="-100000" custLinFactNeighborY="-74417">
        <dgm:presLayoutVars>
          <dgm:chMax val="1"/>
          <dgm:bulletEnabled val="1"/>
        </dgm:presLayoutVars>
      </dgm:prSet>
      <dgm:spPr/>
      <dgm:t>
        <a:bodyPr/>
        <a:lstStyle/>
        <a:p>
          <a:endParaRPr lang="en-US"/>
        </a:p>
      </dgm:t>
    </dgm:pt>
    <dgm:pt modelId="{E7FD20DD-CFB7-46F8-9A06-A616DF620B6B}" type="pres">
      <dgm:prSet presAssocID="{58AA9AD0-850F-4DEE-AE08-61D51C8B53F9}" presName="descendantText" presStyleLbl="alignAcc1" presStyleIdx="7" presStyleCnt="8" custScaleX="97892" custLinFactY="-37134" custLinFactNeighborX="-2754" custLinFactNeighborY="-100000">
        <dgm:presLayoutVars>
          <dgm:bulletEnabled val="1"/>
        </dgm:presLayoutVars>
      </dgm:prSet>
      <dgm:spPr/>
      <dgm:t>
        <a:bodyPr/>
        <a:lstStyle/>
        <a:p>
          <a:endParaRPr lang="en-US"/>
        </a:p>
      </dgm:t>
    </dgm:pt>
  </dgm:ptLst>
  <dgm:cxnLst>
    <dgm:cxn modelId="{3B6D6438-D81D-46DA-A2A6-8DCDEF8F7849}" type="presOf" srcId="{B954E73C-AD87-4B78-9219-36CFFF96F033}" destId="{9982171F-3631-4B59-BFB9-BA76DA60B28C}" srcOrd="0" destOrd="0" presId="urn:microsoft.com/office/officeart/2005/8/layout/chevron2"/>
    <dgm:cxn modelId="{5EBD2B43-6F9B-423B-9AF9-56E3FC4EBC43}" srcId="{72416F30-3F8D-4E79-82B1-94EE9359CAD4}" destId="{4860B3D9-90BC-4EB6-B98F-9E1BB829FBBD}" srcOrd="5" destOrd="0" parTransId="{B262B98E-C9A1-44D5-9B5C-988C9F8A51DF}" sibTransId="{2833E1D6-CDAA-4563-B22B-B92540EE563E}"/>
    <dgm:cxn modelId="{FA2AA572-4A52-4264-AF83-AA8135D5F547}" srcId="{55E9D9A9-B1BE-405F-89C0-0EAFB560F61B}" destId="{BB216E6F-1B00-44A0-AFB5-BBE935A67F0A}" srcOrd="2" destOrd="0" parTransId="{0481074C-068A-4BA5-9F24-9D95F7C7F554}" sibTransId="{0AE8DDE0-9BB1-48B3-A2A1-854EA5005314}"/>
    <dgm:cxn modelId="{FE70E1C9-1164-4F15-9DED-A99AE5D5F9B5}" type="presOf" srcId="{0C6DE9D4-F2CE-402B-9DA2-20964D4F941C}" destId="{526E34C8-0E21-4685-BADA-F27CDBC8917F}" srcOrd="0" destOrd="0" presId="urn:microsoft.com/office/officeart/2005/8/layout/chevron2"/>
    <dgm:cxn modelId="{03131EC8-4845-49FD-928C-11AC8EE4CBD6}" type="presOf" srcId="{CCD0DA9A-DEC8-497B-BF72-9BB2DADCA431}" destId="{73936F59-1CC1-4214-AF8B-86DF41EE5DC1}" srcOrd="0" destOrd="0" presId="urn:microsoft.com/office/officeart/2005/8/layout/chevron2"/>
    <dgm:cxn modelId="{42BD1560-421A-4799-A1D7-BEBA0BF299FD}" srcId="{58AA9AD0-850F-4DEE-AE08-61D51C8B53F9}" destId="{3AB7BB21-DDD6-4908-9CD3-6AF724C9B83D}" srcOrd="0" destOrd="0" parTransId="{25B08AA7-267C-4EC2-9C58-8BF5111AFF75}" sibTransId="{3BA1D8F9-912F-47B1-B213-DBD40140C4E7}"/>
    <dgm:cxn modelId="{8DE284A2-1081-44A1-86BB-BF1D2070D493}" srcId="{72416F30-3F8D-4E79-82B1-94EE9359CAD4}" destId="{3D1DB1D7-3EFD-40E9-B86E-7B125AA2BF27}" srcOrd="1" destOrd="0" parTransId="{2A053CB5-DB30-42A0-A07F-4E3DA7AD2EE0}" sibTransId="{49D7B87C-65FB-4C21-A90B-14A7A9B6DF70}"/>
    <dgm:cxn modelId="{39827E0A-85B5-4AFD-99C3-968AF3D1BF82}" srcId="{72416F30-3F8D-4E79-82B1-94EE9359CAD4}" destId="{EA66B2C7-25A3-47FF-B193-20E666143AEA}" srcOrd="0" destOrd="0" parTransId="{94399BA3-1FDC-4CDB-B652-F586CF26C0BD}" sibTransId="{E277F830-3B76-4012-BD5B-D49E88B735D5}"/>
    <dgm:cxn modelId="{75041922-4B1D-4409-AB50-3FDF0DF57C89}" type="presOf" srcId="{C8A47CD0-F2A0-4EAA-A8C6-25BCED50CEBF}" destId="{7021F9DA-B63C-4E12-AA59-6DBFB3CD7D26}" srcOrd="0" destOrd="0" presId="urn:microsoft.com/office/officeart/2005/8/layout/chevron2"/>
    <dgm:cxn modelId="{4F578A86-B184-49F5-AF17-37A889EF87CE}" type="presOf" srcId="{0C56EBD5-0C3C-4AF2-B2F0-6577D28A5B7F}" destId="{85307543-4751-4563-9FA5-E46D38B360EB}" srcOrd="0" destOrd="0" presId="urn:microsoft.com/office/officeart/2005/8/layout/chevron2"/>
    <dgm:cxn modelId="{2A1A702A-D141-467B-80FB-E4DCDF54D33C}" type="presOf" srcId="{72416F30-3F8D-4E79-82B1-94EE9359CAD4}" destId="{643C8E35-C01F-4335-A2CA-B1E003C8B9BF}" srcOrd="0" destOrd="0" presId="urn:microsoft.com/office/officeart/2005/8/layout/chevron2"/>
    <dgm:cxn modelId="{D9892710-094F-497F-9B47-7111ABEBFA95}" type="presOf" srcId="{58AA9AD0-850F-4DEE-AE08-61D51C8B53F9}" destId="{B9E483C2-9B1F-4BF6-8057-6AF49543D7D6}" srcOrd="0" destOrd="0" presId="urn:microsoft.com/office/officeart/2005/8/layout/chevron2"/>
    <dgm:cxn modelId="{2DFC1144-78AA-4095-A35C-A06D68A7A756}" type="presOf" srcId="{F1067D8D-E36E-48A9-9413-C761FD2A4950}" destId="{ED89008B-C52C-4286-81DE-EF941A273364}" srcOrd="0" destOrd="1" presId="urn:microsoft.com/office/officeart/2005/8/layout/chevron2"/>
    <dgm:cxn modelId="{3FCB84D1-B572-4305-98C7-A726F9CEE4C5}" srcId="{4860B3D9-90BC-4EB6-B98F-9E1BB829FBBD}" destId="{2A361656-951C-4426-B28B-E527E3133A67}" srcOrd="2" destOrd="0" parTransId="{930186EC-9EF3-42C8-B64C-67D264FF0DFE}" sibTransId="{CDB8CE73-A499-449B-82C5-D53259E9CAE5}"/>
    <dgm:cxn modelId="{50E15337-7BBA-4E2F-A9AD-E53DE4A74C30}" type="presOf" srcId="{794B0D9E-679F-48F4-AC40-4DD9121C2C6E}" destId="{C9151472-84AF-4E9A-87E7-0699EC089A4B}" srcOrd="0" destOrd="1" presId="urn:microsoft.com/office/officeart/2005/8/layout/chevron2"/>
    <dgm:cxn modelId="{F42593FC-014C-4791-845D-DBF8FB19FE8D}" type="presOf" srcId="{BB216E6F-1B00-44A0-AFB5-BBE935A67F0A}" destId="{9063DA7A-A4B6-4402-BC31-F5CE665308B3}" srcOrd="0" destOrd="2" presId="urn:microsoft.com/office/officeart/2005/8/layout/chevron2"/>
    <dgm:cxn modelId="{6C8247CE-5AEE-4645-A2D3-DA90315A7C7E}" srcId="{55E9D9A9-B1BE-405F-89C0-0EAFB560F61B}" destId="{9A121BEC-9AF8-4DB0-835C-226F72A7FD82}" srcOrd="0" destOrd="0" parTransId="{68D7288A-C2E0-419B-AD76-5E05C5E805DC}" sibTransId="{E77EC033-6A5E-43B7-95BB-9E2F11C79874}"/>
    <dgm:cxn modelId="{D209ABA4-1367-43B2-B529-7939329EDE10}" type="presOf" srcId="{4860B3D9-90BC-4EB6-B98F-9E1BB829FBBD}" destId="{AE52AEF7-28EC-4FAB-9626-BCCF81D561DD}" srcOrd="0" destOrd="0" presId="urn:microsoft.com/office/officeart/2005/8/layout/chevron2"/>
    <dgm:cxn modelId="{15B0F506-1CE2-4E44-9B4C-0E8144B94C5B}" type="presOf" srcId="{283EF4AC-7230-437A-8B01-3A74D9B9E4E2}" destId="{9063DA7A-A4B6-4402-BC31-F5CE665308B3}" srcOrd="0" destOrd="1" presId="urn:microsoft.com/office/officeart/2005/8/layout/chevron2"/>
    <dgm:cxn modelId="{A19A7029-D63A-4E4A-9A42-C5727B694F1A}" srcId="{72416F30-3F8D-4E79-82B1-94EE9359CAD4}" destId="{CCD0DA9A-DEC8-497B-BF72-9BB2DADCA431}" srcOrd="4" destOrd="0" parTransId="{CE3014C8-3223-4A43-8111-5342DFD5C5D3}" sibTransId="{53164C7C-EFE9-4166-B665-22C2CE44FCB4}"/>
    <dgm:cxn modelId="{B505BE69-DA00-4182-B8B1-F021B04D9B23}" srcId="{EA66B2C7-25A3-47FF-B193-20E666143AEA}" destId="{0C56EBD5-0C3C-4AF2-B2F0-6577D28A5B7F}" srcOrd="0" destOrd="0" parTransId="{38C12804-4B9D-41B3-8E59-36240F2FE195}" sibTransId="{D03CC49F-A96F-4874-B497-C6B52C0C1F56}"/>
    <dgm:cxn modelId="{A99F47C7-C9C5-466D-9699-1EE6A8DD0238}" srcId="{4860B3D9-90BC-4EB6-B98F-9E1BB829FBBD}" destId="{794B0D9E-679F-48F4-AC40-4DD9121C2C6E}" srcOrd="1" destOrd="0" parTransId="{9ACB28C8-825B-487A-AD58-7574E28EB11A}" sibTransId="{A4AF9C99-9A5D-4D06-9F6E-1451CC199CF1}"/>
    <dgm:cxn modelId="{E21CBF6C-BF3A-4E8E-8BBE-C142C6B68243}" srcId="{72416F30-3F8D-4E79-82B1-94EE9359CAD4}" destId="{55E9D9A9-B1BE-405F-89C0-0EAFB560F61B}" srcOrd="3" destOrd="0" parTransId="{092F2135-92FC-479F-9592-1368F84A6D37}" sibTransId="{E3BC94C4-A1CD-4E7D-8034-D53BB8867D92}"/>
    <dgm:cxn modelId="{A8F7A9DE-F03C-49A7-987E-74CEF841FE35}" srcId="{72416F30-3F8D-4E79-82B1-94EE9359CAD4}" destId="{58AA9AD0-850F-4DEE-AE08-61D51C8B53F9}" srcOrd="7" destOrd="0" parTransId="{C82B7899-E46A-48EC-A2CE-0BF07D981357}" sibTransId="{4CE2D2F8-FF6D-479A-8541-B4750077A4BF}"/>
    <dgm:cxn modelId="{32310583-0071-482D-81AE-1819237EE142}" srcId="{55E9D9A9-B1BE-405F-89C0-0EAFB560F61B}" destId="{283EF4AC-7230-437A-8B01-3A74D9B9E4E2}" srcOrd="1" destOrd="0" parTransId="{F61C6FCE-BBFE-4B9B-9D59-022E0F2E7295}" sibTransId="{A72FD98E-6FE9-4DDA-B216-CEB870A4F584}"/>
    <dgm:cxn modelId="{23BED1C3-EA35-401E-9A47-310028F31934}" type="presOf" srcId="{4B5AAE0A-78F7-4549-80CA-59F2535AE8A0}" destId="{2273FFEC-BD7E-44DD-BA8D-0E81DC84C361}" srcOrd="0" destOrd="0" presId="urn:microsoft.com/office/officeart/2005/8/layout/chevron2"/>
    <dgm:cxn modelId="{DE897984-614B-4290-8470-567D5B219189}" type="presOf" srcId="{EA66B2C7-25A3-47FF-B193-20E666143AEA}" destId="{414B85FC-E722-4E60-A1B2-E0983193F162}" srcOrd="0" destOrd="0" presId="urn:microsoft.com/office/officeart/2005/8/layout/chevron2"/>
    <dgm:cxn modelId="{B89C337D-C2AA-498E-A6CA-84D3C17FED94}" type="presOf" srcId="{2A361656-951C-4426-B28B-E527E3133A67}" destId="{C9151472-84AF-4E9A-87E7-0699EC089A4B}" srcOrd="0" destOrd="2" presId="urn:microsoft.com/office/officeart/2005/8/layout/chevron2"/>
    <dgm:cxn modelId="{E1B29364-9CD7-4F34-A7E0-8DC544D89942}" srcId="{0C6DE9D4-F2CE-402B-9DA2-20964D4F941C}" destId="{F7F64230-AC56-4377-8A67-814E4CE87D5B}" srcOrd="0" destOrd="0" parTransId="{2F4A7C70-D1BD-4D70-BD8F-08A5AAA5E2AC}" sibTransId="{D1448F8E-6E6F-4498-B754-1935D8432B31}"/>
    <dgm:cxn modelId="{CE4D7CC9-7498-4367-AFDD-BC3CEAD758A7}" type="presOf" srcId="{3AB7BB21-DDD6-4908-9CD3-6AF724C9B83D}" destId="{E7FD20DD-CFB7-46F8-9A06-A616DF620B6B}" srcOrd="0" destOrd="0" presId="urn:microsoft.com/office/officeart/2005/8/layout/chevron2"/>
    <dgm:cxn modelId="{EB5F5B14-B5F9-4BC0-BF62-425022892585}" type="presOf" srcId="{CF14905D-E6C0-4ADD-959F-784AF27F286B}" destId="{C9151472-84AF-4E9A-87E7-0699EC089A4B}" srcOrd="0" destOrd="0" presId="urn:microsoft.com/office/officeart/2005/8/layout/chevron2"/>
    <dgm:cxn modelId="{6F7EE641-218B-402D-894E-7519BA54096A}" srcId="{3D1DB1D7-3EFD-40E9-B86E-7B125AA2BF27}" destId="{4B5AAE0A-78F7-4549-80CA-59F2535AE8A0}" srcOrd="0" destOrd="0" parTransId="{15FC9CDD-5147-4321-9495-E44A91680112}" sibTransId="{39DF23B2-EE41-4CF5-B8B3-501CE5D2E2A0}"/>
    <dgm:cxn modelId="{012FCDDD-D40A-496B-B631-5EA0A59326B4}" type="presOf" srcId="{F7F64230-AC56-4377-8A67-814E4CE87D5B}" destId="{ED89008B-C52C-4286-81DE-EF941A273364}" srcOrd="0" destOrd="0" presId="urn:microsoft.com/office/officeart/2005/8/layout/chevron2"/>
    <dgm:cxn modelId="{FADCDC4C-BB06-4460-B124-72B0DE06634A}" type="presOf" srcId="{55E9D9A9-B1BE-405F-89C0-0EAFB560F61B}" destId="{2EE45D5C-F3D3-48BF-8B21-F476B51D9B0B}" srcOrd="0" destOrd="0" presId="urn:microsoft.com/office/officeart/2005/8/layout/chevron2"/>
    <dgm:cxn modelId="{EA5B96A1-8C8A-41B9-AE1C-7FE6D8D18E5D}" type="presOf" srcId="{3D1DB1D7-3EFD-40E9-B86E-7B125AA2BF27}" destId="{CD966911-84A1-440A-B551-EA337A04B2FC}" srcOrd="0" destOrd="0" presId="urn:microsoft.com/office/officeart/2005/8/layout/chevron2"/>
    <dgm:cxn modelId="{46E8E604-D480-4A0B-B655-273DDAB9561A}" srcId="{CCD0DA9A-DEC8-497B-BF72-9BB2DADCA431}" destId="{C8A47CD0-F2A0-4EAA-A8C6-25BCED50CEBF}" srcOrd="0" destOrd="0" parTransId="{90E077D9-C26A-4340-9ACE-9F61CD69B57D}" sibTransId="{66F170C1-1437-4835-9DB1-2941932D8F0A}"/>
    <dgm:cxn modelId="{7BDA1289-764E-4140-BB9B-FCE1E3354DE2}" type="presOf" srcId="{1C3292B4-8E22-4370-9B4C-621A5D768DAA}" destId="{A8812651-7487-4DA9-A2AA-306DDFC0D6EE}" srcOrd="0" destOrd="0" presId="urn:microsoft.com/office/officeart/2005/8/layout/chevron2"/>
    <dgm:cxn modelId="{60DA4881-7D4F-4501-83D2-EEC3299B1A94}" srcId="{72416F30-3F8D-4E79-82B1-94EE9359CAD4}" destId="{1C3292B4-8E22-4370-9B4C-621A5D768DAA}" srcOrd="6" destOrd="0" parTransId="{C9ED87F2-A5A4-4DDD-833C-604A9379B814}" sibTransId="{32319287-45E3-4B09-B3A1-D6CD70904D1E}"/>
    <dgm:cxn modelId="{B50D3163-DB2A-4F0C-8381-9500ADAA35A0}" srcId="{4860B3D9-90BC-4EB6-B98F-9E1BB829FBBD}" destId="{CF14905D-E6C0-4ADD-959F-784AF27F286B}" srcOrd="0" destOrd="0" parTransId="{644FCFA6-4C3B-4165-99E4-5072BD046688}" sibTransId="{3476C378-C563-46FE-A5B9-CEE3D17BE15C}"/>
    <dgm:cxn modelId="{6D91C6CC-92EB-4C87-A620-65A1538EBA49}" srcId="{72416F30-3F8D-4E79-82B1-94EE9359CAD4}" destId="{0C6DE9D4-F2CE-402B-9DA2-20964D4F941C}" srcOrd="2" destOrd="0" parTransId="{363D1A89-F1F4-46C2-8EA7-B5DA0012276E}" sibTransId="{43F317C9-B6D7-4AF4-81EA-A7BA012FBC65}"/>
    <dgm:cxn modelId="{AFBC2A0C-1C31-4332-BA0A-8EE94917E2EE}" srcId="{0C6DE9D4-F2CE-402B-9DA2-20964D4F941C}" destId="{F1067D8D-E36E-48A9-9413-C761FD2A4950}" srcOrd="1" destOrd="0" parTransId="{D7CF3005-38D9-4C73-BB56-972335988463}" sibTransId="{EAD95993-CB42-48D8-B945-1100E119E6CC}"/>
    <dgm:cxn modelId="{9DCAD971-EA72-4BA4-B44A-0C7FCFDE6B34}" type="presOf" srcId="{9A121BEC-9AF8-4DB0-835C-226F72A7FD82}" destId="{9063DA7A-A4B6-4402-BC31-F5CE665308B3}" srcOrd="0" destOrd="0" presId="urn:microsoft.com/office/officeart/2005/8/layout/chevron2"/>
    <dgm:cxn modelId="{8418F55D-CDEF-4A3D-B09F-791502AED696}" srcId="{1C3292B4-8E22-4370-9B4C-621A5D768DAA}" destId="{B954E73C-AD87-4B78-9219-36CFFF96F033}" srcOrd="0" destOrd="0" parTransId="{4CE6DA4B-29F3-413B-9987-8987A0E70CA7}" sibTransId="{75EB646E-BFCD-42F2-8C09-45A6EB30BF31}"/>
    <dgm:cxn modelId="{BAB2943F-F41B-48AF-9A26-35329C93BBDF}" type="presParOf" srcId="{643C8E35-C01F-4335-A2CA-B1E003C8B9BF}" destId="{1BCD0F3A-B0B5-4403-9B75-2CB5BEBF12F9}" srcOrd="0" destOrd="0" presId="urn:microsoft.com/office/officeart/2005/8/layout/chevron2"/>
    <dgm:cxn modelId="{DA395A18-7445-4306-8239-F81AC1EE453C}" type="presParOf" srcId="{1BCD0F3A-B0B5-4403-9B75-2CB5BEBF12F9}" destId="{414B85FC-E722-4E60-A1B2-E0983193F162}" srcOrd="0" destOrd="0" presId="urn:microsoft.com/office/officeart/2005/8/layout/chevron2"/>
    <dgm:cxn modelId="{1D8E5CE2-5071-4411-8FFC-9D91C8212CC9}" type="presParOf" srcId="{1BCD0F3A-B0B5-4403-9B75-2CB5BEBF12F9}" destId="{85307543-4751-4563-9FA5-E46D38B360EB}" srcOrd="1" destOrd="0" presId="urn:microsoft.com/office/officeart/2005/8/layout/chevron2"/>
    <dgm:cxn modelId="{639280D8-D118-4D65-93C6-E1A2B257D82F}" type="presParOf" srcId="{643C8E35-C01F-4335-A2CA-B1E003C8B9BF}" destId="{E8E4FB16-2E59-4FBA-A6E3-ABC63A6DF2B1}" srcOrd="1" destOrd="0" presId="urn:microsoft.com/office/officeart/2005/8/layout/chevron2"/>
    <dgm:cxn modelId="{BAEEBCDC-5D92-4620-9DEB-62CD9710DBF3}" type="presParOf" srcId="{643C8E35-C01F-4335-A2CA-B1E003C8B9BF}" destId="{0FAC2F4F-36C7-43E6-ABEA-055E947695DF}" srcOrd="2" destOrd="0" presId="urn:microsoft.com/office/officeart/2005/8/layout/chevron2"/>
    <dgm:cxn modelId="{715034AE-BC6F-4175-AB49-A23B46C3E950}" type="presParOf" srcId="{0FAC2F4F-36C7-43E6-ABEA-055E947695DF}" destId="{CD966911-84A1-440A-B551-EA337A04B2FC}" srcOrd="0" destOrd="0" presId="urn:microsoft.com/office/officeart/2005/8/layout/chevron2"/>
    <dgm:cxn modelId="{C65B0EF7-7951-4146-B9FA-26E5FCA73DAE}" type="presParOf" srcId="{0FAC2F4F-36C7-43E6-ABEA-055E947695DF}" destId="{2273FFEC-BD7E-44DD-BA8D-0E81DC84C361}" srcOrd="1" destOrd="0" presId="urn:microsoft.com/office/officeart/2005/8/layout/chevron2"/>
    <dgm:cxn modelId="{81CC57A2-AA0A-483A-8B55-EC518EDDE0ED}" type="presParOf" srcId="{643C8E35-C01F-4335-A2CA-B1E003C8B9BF}" destId="{C35E3F7A-0A2E-4506-91B3-EB8CE32EC6D4}" srcOrd="3" destOrd="0" presId="urn:microsoft.com/office/officeart/2005/8/layout/chevron2"/>
    <dgm:cxn modelId="{2C0F583A-0666-4803-8F7B-B4632E40BAA5}" type="presParOf" srcId="{643C8E35-C01F-4335-A2CA-B1E003C8B9BF}" destId="{8E57C556-B15C-474C-A2CE-45DAD20FA8FE}" srcOrd="4" destOrd="0" presId="urn:microsoft.com/office/officeart/2005/8/layout/chevron2"/>
    <dgm:cxn modelId="{3406C84A-2660-4413-ACBC-68DE2E7F7D8B}" type="presParOf" srcId="{8E57C556-B15C-474C-A2CE-45DAD20FA8FE}" destId="{526E34C8-0E21-4685-BADA-F27CDBC8917F}" srcOrd="0" destOrd="0" presId="urn:microsoft.com/office/officeart/2005/8/layout/chevron2"/>
    <dgm:cxn modelId="{9C134411-C051-4854-885D-F0FE050ABDAA}" type="presParOf" srcId="{8E57C556-B15C-474C-A2CE-45DAD20FA8FE}" destId="{ED89008B-C52C-4286-81DE-EF941A273364}" srcOrd="1" destOrd="0" presId="urn:microsoft.com/office/officeart/2005/8/layout/chevron2"/>
    <dgm:cxn modelId="{E5C5B4A3-52FE-4DD9-BF6E-24537D76F226}" type="presParOf" srcId="{643C8E35-C01F-4335-A2CA-B1E003C8B9BF}" destId="{ACF0FEAC-B44D-4E16-B248-0EC3ECC713AC}" srcOrd="5" destOrd="0" presId="urn:microsoft.com/office/officeart/2005/8/layout/chevron2"/>
    <dgm:cxn modelId="{5B72B7C3-53E1-4DAF-B5D8-6EE5ECD09B39}" type="presParOf" srcId="{643C8E35-C01F-4335-A2CA-B1E003C8B9BF}" destId="{4CE25430-3B2E-48E4-B3B5-2D7908EF27C1}" srcOrd="6" destOrd="0" presId="urn:microsoft.com/office/officeart/2005/8/layout/chevron2"/>
    <dgm:cxn modelId="{4C10CD00-CE7B-49EE-B73E-B0286F2EC03E}" type="presParOf" srcId="{4CE25430-3B2E-48E4-B3B5-2D7908EF27C1}" destId="{2EE45D5C-F3D3-48BF-8B21-F476B51D9B0B}" srcOrd="0" destOrd="0" presId="urn:microsoft.com/office/officeart/2005/8/layout/chevron2"/>
    <dgm:cxn modelId="{363B05A9-8228-4BC3-8C52-657D55D23E52}" type="presParOf" srcId="{4CE25430-3B2E-48E4-B3B5-2D7908EF27C1}" destId="{9063DA7A-A4B6-4402-BC31-F5CE665308B3}" srcOrd="1" destOrd="0" presId="urn:microsoft.com/office/officeart/2005/8/layout/chevron2"/>
    <dgm:cxn modelId="{F506E42D-21A5-4AEE-8578-673F213442AC}" type="presParOf" srcId="{643C8E35-C01F-4335-A2CA-B1E003C8B9BF}" destId="{5E840C8E-AEED-4E12-99F9-4E4C223D7B63}" srcOrd="7" destOrd="0" presId="urn:microsoft.com/office/officeart/2005/8/layout/chevron2"/>
    <dgm:cxn modelId="{560E53D9-1FC6-45A3-BFFB-FBC43D80A345}" type="presParOf" srcId="{643C8E35-C01F-4335-A2CA-B1E003C8B9BF}" destId="{2C7C1122-282F-491F-964A-CCECE0E81EBC}" srcOrd="8" destOrd="0" presId="urn:microsoft.com/office/officeart/2005/8/layout/chevron2"/>
    <dgm:cxn modelId="{F237D061-D411-445F-9925-9AE1A5F03866}" type="presParOf" srcId="{2C7C1122-282F-491F-964A-CCECE0E81EBC}" destId="{73936F59-1CC1-4214-AF8B-86DF41EE5DC1}" srcOrd="0" destOrd="0" presId="urn:microsoft.com/office/officeart/2005/8/layout/chevron2"/>
    <dgm:cxn modelId="{C955AEF9-BD59-4F0A-8CFB-EB19FAA6E64C}" type="presParOf" srcId="{2C7C1122-282F-491F-964A-CCECE0E81EBC}" destId="{7021F9DA-B63C-4E12-AA59-6DBFB3CD7D26}" srcOrd="1" destOrd="0" presId="urn:microsoft.com/office/officeart/2005/8/layout/chevron2"/>
    <dgm:cxn modelId="{CAB116A3-B5D2-4DCC-AC94-2FCEF5BFDCEF}" type="presParOf" srcId="{643C8E35-C01F-4335-A2CA-B1E003C8B9BF}" destId="{15EFFF37-6A17-431E-9B3F-545B1C2A9F59}" srcOrd="9" destOrd="0" presId="urn:microsoft.com/office/officeart/2005/8/layout/chevron2"/>
    <dgm:cxn modelId="{B0AB2F77-3151-48E2-9759-A62844C49EBE}" type="presParOf" srcId="{643C8E35-C01F-4335-A2CA-B1E003C8B9BF}" destId="{E2C730E2-5EA9-4A57-96B9-A3BCC4CF754A}" srcOrd="10" destOrd="0" presId="urn:microsoft.com/office/officeart/2005/8/layout/chevron2"/>
    <dgm:cxn modelId="{8B842B8C-4529-408A-BA04-AA589AF293B9}" type="presParOf" srcId="{E2C730E2-5EA9-4A57-96B9-A3BCC4CF754A}" destId="{AE52AEF7-28EC-4FAB-9626-BCCF81D561DD}" srcOrd="0" destOrd="0" presId="urn:microsoft.com/office/officeart/2005/8/layout/chevron2"/>
    <dgm:cxn modelId="{DBD4A3D5-CC35-4FC9-9521-E2BA8F85F831}" type="presParOf" srcId="{E2C730E2-5EA9-4A57-96B9-A3BCC4CF754A}" destId="{C9151472-84AF-4E9A-87E7-0699EC089A4B}" srcOrd="1" destOrd="0" presId="urn:microsoft.com/office/officeart/2005/8/layout/chevron2"/>
    <dgm:cxn modelId="{E254AFF3-CF1A-4022-8567-B1C1A71C21EE}" type="presParOf" srcId="{643C8E35-C01F-4335-A2CA-B1E003C8B9BF}" destId="{580FEA7E-7025-4870-9344-AA60F14852D9}" srcOrd="11" destOrd="0" presId="urn:microsoft.com/office/officeart/2005/8/layout/chevron2"/>
    <dgm:cxn modelId="{6C40C233-5221-4B0E-958F-EECBCFB57EC7}" type="presParOf" srcId="{643C8E35-C01F-4335-A2CA-B1E003C8B9BF}" destId="{5563060E-D170-4C33-BCF3-AAACB366C82C}" srcOrd="12" destOrd="0" presId="urn:microsoft.com/office/officeart/2005/8/layout/chevron2"/>
    <dgm:cxn modelId="{ACB9D5CE-4B74-49E7-ADBE-8217975CA7A5}" type="presParOf" srcId="{5563060E-D170-4C33-BCF3-AAACB366C82C}" destId="{A8812651-7487-4DA9-A2AA-306DDFC0D6EE}" srcOrd="0" destOrd="0" presId="urn:microsoft.com/office/officeart/2005/8/layout/chevron2"/>
    <dgm:cxn modelId="{AF7FDE0B-4A0C-4864-96FD-B95D02741636}" type="presParOf" srcId="{5563060E-D170-4C33-BCF3-AAACB366C82C}" destId="{9982171F-3631-4B59-BFB9-BA76DA60B28C}" srcOrd="1" destOrd="0" presId="urn:microsoft.com/office/officeart/2005/8/layout/chevron2"/>
    <dgm:cxn modelId="{7FE6B8C6-A1D4-4F27-8235-16D3C53819AC}" type="presParOf" srcId="{643C8E35-C01F-4335-A2CA-B1E003C8B9BF}" destId="{21E37A29-B96D-4705-9AE8-1D4478D1BB27}" srcOrd="13" destOrd="0" presId="urn:microsoft.com/office/officeart/2005/8/layout/chevron2"/>
    <dgm:cxn modelId="{D93BDE6D-517C-447A-8C15-323ECC7B592F}" type="presParOf" srcId="{643C8E35-C01F-4335-A2CA-B1E003C8B9BF}" destId="{A7015F9C-7961-4DD7-A9CC-37D61C68D65E}" srcOrd="14" destOrd="0" presId="urn:microsoft.com/office/officeart/2005/8/layout/chevron2"/>
    <dgm:cxn modelId="{FEE840A5-F9E7-433D-8634-8BA5F92537C8}" type="presParOf" srcId="{A7015F9C-7961-4DD7-A9CC-37D61C68D65E}" destId="{B9E483C2-9B1F-4BF6-8057-6AF49543D7D6}" srcOrd="0" destOrd="0" presId="urn:microsoft.com/office/officeart/2005/8/layout/chevron2"/>
    <dgm:cxn modelId="{B373D373-08AC-4092-A3EF-022938196942}" type="presParOf" srcId="{A7015F9C-7961-4DD7-A9CC-37D61C68D65E}" destId="{E7FD20DD-CFB7-46F8-9A06-A616DF620B6B}"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B85FC-E722-4E60-A1B2-E0983193F162}">
      <dsp:nvSpPr>
        <dsp:cNvPr id="0" name=""/>
        <dsp:cNvSpPr/>
      </dsp:nvSpPr>
      <dsp:spPr>
        <a:xfrm rot="5400000">
          <a:off x="-196206" y="-842028"/>
          <a:ext cx="1231847" cy="79328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Rapeseed  seeds and oil</a:t>
          </a:r>
        </a:p>
      </dsp:txBody>
      <dsp:txXfrm rot="-5400000">
        <a:off x="23078" y="-664672"/>
        <a:ext cx="793280" cy="438567"/>
      </dsp:txXfrm>
    </dsp:sp>
    <dsp:sp modelId="{85307543-4751-4563-9FA5-E46D38B360EB}">
      <dsp:nvSpPr>
        <dsp:cNvPr id="0" name=""/>
        <dsp:cNvSpPr/>
      </dsp:nvSpPr>
      <dsp:spPr>
        <a:xfrm rot="5400000">
          <a:off x="2141157" y="-1717010"/>
          <a:ext cx="494618" cy="266270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Rapeseed seeds and oil are obtained from </a:t>
          </a:r>
          <a:r>
            <a:rPr lang="en-US" sz="900" kern="1200" baseline="0">
              <a:solidFill>
                <a:sysClr val="windowText" lastClr="000000"/>
              </a:solidFill>
              <a:latin typeface="Arial" panose="020B0604020202020204" pitchFamily="34" charset="0"/>
              <a:cs typeface="Arial" panose="020B0604020202020204" pitchFamily="34" charset="0"/>
            </a:rPr>
            <a:t>modern cultivars of </a:t>
          </a:r>
          <a:r>
            <a:rPr lang="en-GB" sz="900" i="1" kern="1200">
              <a:latin typeface="Arial" panose="020B0604020202020204" pitchFamily="34" charset="0"/>
              <a:cs typeface="Arial" panose="020B0604020202020204" pitchFamily="34" charset="0"/>
            </a:rPr>
            <a:t>Brassica napus, Brassica rapa</a:t>
          </a:r>
          <a:r>
            <a:rPr lang="en-GB" sz="900" kern="1200">
              <a:latin typeface="Arial" panose="020B0604020202020204" pitchFamily="34" charset="0"/>
              <a:cs typeface="Arial" panose="020B0604020202020204" pitchFamily="34" charset="0"/>
            </a:rPr>
            <a:t> and </a:t>
          </a:r>
          <a:r>
            <a:rPr lang="en-GB" sz="900" i="1" kern="1200">
              <a:latin typeface="Arial" panose="020B0604020202020204" pitchFamily="34" charset="0"/>
              <a:cs typeface="Arial" panose="020B0604020202020204" pitchFamily="34" charset="0"/>
            </a:rPr>
            <a:t>Brassica juncea</a:t>
          </a:r>
          <a:r>
            <a:rPr lang="en-GB" sz="900" kern="1200">
              <a:latin typeface="Arial" panose="020B0604020202020204" pitchFamily="34" charset="0"/>
              <a:cs typeface="Arial" panose="020B0604020202020204" pitchFamily="34" charset="0"/>
            </a:rPr>
            <a:t> that are low in erucic acid and glucosinolates. </a:t>
          </a:r>
          <a:r>
            <a:rPr lang="en-US" sz="900" kern="1200" baseline="0">
              <a:latin typeface="Arial" panose="020B0604020202020204" pitchFamily="34" charset="0"/>
              <a:cs typeface="Arial" panose="020B0604020202020204" pitchFamily="34" charset="0"/>
            </a:rPr>
            <a:t> </a:t>
          </a:r>
          <a:endParaRPr lang="en-US" sz="900" kern="1200">
            <a:latin typeface="Arial" panose="020B0604020202020204" pitchFamily="34" charset="0"/>
            <a:cs typeface="Arial" panose="020B0604020202020204" pitchFamily="34" charset="0"/>
          </a:endParaRPr>
        </a:p>
      </dsp:txBody>
      <dsp:txXfrm rot="-5400000">
        <a:off x="1057117" y="-608825"/>
        <a:ext cx="2638555" cy="446328"/>
      </dsp:txXfrm>
    </dsp:sp>
    <dsp:sp modelId="{CD966911-84A1-440A-B551-EA337A04B2FC}">
      <dsp:nvSpPr>
        <dsp:cNvPr id="0" name=""/>
        <dsp:cNvSpPr/>
      </dsp:nvSpPr>
      <dsp:spPr>
        <a:xfrm rot="5400000">
          <a:off x="-155876" y="212970"/>
          <a:ext cx="1119358" cy="8076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Extraction</a:t>
          </a:r>
        </a:p>
      </dsp:txBody>
      <dsp:txXfrm rot="-5400000">
        <a:off x="1" y="460895"/>
        <a:ext cx="807604" cy="311754"/>
      </dsp:txXfrm>
    </dsp:sp>
    <dsp:sp modelId="{2273FFEC-BD7E-44DD-BA8D-0E81DC84C361}">
      <dsp:nvSpPr>
        <dsp:cNvPr id="0" name=""/>
        <dsp:cNvSpPr/>
      </dsp:nvSpPr>
      <dsp:spPr>
        <a:xfrm rot="5400000">
          <a:off x="2377910" y="-1064914"/>
          <a:ext cx="463229" cy="314688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Rapeseed press cake/meal is obtained from seeds that are pressed to remove oil. The press cake/meal is mixed with sodium chloride solution.</a:t>
          </a:r>
        </a:p>
      </dsp:txBody>
      <dsp:txXfrm rot="-5400000">
        <a:off x="1036082" y="299527"/>
        <a:ext cx="3124274" cy="418003"/>
      </dsp:txXfrm>
    </dsp:sp>
    <dsp:sp modelId="{526E34C8-0E21-4685-BADA-F27CDBC8917F}">
      <dsp:nvSpPr>
        <dsp:cNvPr id="0" name=""/>
        <dsp:cNvSpPr/>
      </dsp:nvSpPr>
      <dsp:spPr>
        <a:xfrm rot="5400000">
          <a:off x="-119229" y="1189893"/>
          <a:ext cx="1121009" cy="88254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Solid/Liquid separation</a:t>
          </a:r>
        </a:p>
      </dsp:txBody>
      <dsp:txXfrm rot="-5400000">
        <a:off x="2" y="1511938"/>
        <a:ext cx="882549" cy="238460"/>
      </dsp:txXfrm>
    </dsp:sp>
    <dsp:sp modelId="{ED89008B-C52C-4286-81DE-EF941A273364}">
      <dsp:nvSpPr>
        <dsp:cNvPr id="0" name=""/>
        <dsp:cNvSpPr/>
      </dsp:nvSpPr>
      <dsp:spPr>
        <a:xfrm rot="5400000">
          <a:off x="2802482" y="-595915"/>
          <a:ext cx="505516" cy="403402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The protein based solution is separated from insoluble material. </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The protein based solution is now referred to as the extract. </a:t>
          </a:r>
        </a:p>
      </dsp:txBody>
      <dsp:txXfrm rot="-5400000">
        <a:off x="1038228" y="1193016"/>
        <a:ext cx="4009348" cy="456162"/>
      </dsp:txXfrm>
    </dsp:sp>
    <dsp:sp modelId="{2EE45D5C-F3D3-48BF-8B21-F476B51D9B0B}">
      <dsp:nvSpPr>
        <dsp:cNvPr id="0" name=""/>
        <dsp:cNvSpPr/>
      </dsp:nvSpPr>
      <dsp:spPr>
        <a:xfrm rot="5400000">
          <a:off x="-84253" y="2169990"/>
          <a:ext cx="1028086" cy="859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Clarification</a:t>
          </a:r>
        </a:p>
      </dsp:txBody>
      <dsp:txXfrm rot="-5400000">
        <a:off x="1" y="2515527"/>
        <a:ext cx="859579" cy="168507"/>
      </dsp:txXfrm>
    </dsp:sp>
    <dsp:sp modelId="{9063DA7A-A4B6-4402-BC31-F5CE665308B3}">
      <dsp:nvSpPr>
        <dsp:cNvPr id="0" name=""/>
        <dsp:cNvSpPr/>
      </dsp:nvSpPr>
      <dsp:spPr>
        <a:xfrm rot="5400000">
          <a:off x="2758754" y="386407"/>
          <a:ext cx="659461" cy="405939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pH is adjusted and the extract is clarified to remove non-protein substances.</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Citric acid and/or ascorbic acid may be used as buffers.</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Residual fat and precipitates are removed by solid/liquid separation. e.g. membrance filter press or centrifugation. </a:t>
          </a:r>
        </a:p>
      </dsp:txBody>
      <dsp:txXfrm rot="-5400000">
        <a:off x="1058785" y="2118568"/>
        <a:ext cx="4027207" cy="595077"/>
      </dsp:txXfrm>
    </dsp:sp>
    <dsp:sp modelId="{73936F59-1CC1-4214-AF8B-86DF41EE5DC1}">
      <dsp:nvSpPr>
        <dsp:cNvPr id="0" name=""/>
        <dsp:cNvSpPr/>
      </dsp:nvSpPr>
      <dsp:spPr>
        <a:xfrm rot="5400000">
          <a:off x="-109265" y="3072763"/>
          <a:ext cx="1140755" cy="9222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Concentration</a:t>
          </a:r>
        </a:p>
      </dsp:txBody>
      <dsp:txXfrm rot="-5400000">
        <a:off x="2" y="3424609"/>
        <a:ext cx="922223" cy="218532"/>
      </dsp:txXfrm>
    </dsp:sp>
    <dsp:sp modelId="{7021F9DA-B63C-4E12-AA59-6DBFB3CD7D26}">
      <dsp:nvSpPr>
        <dsp:cNvPr id="0" name=""/>
        <dsp:cNvSpPr/>
      </dsp:nvSpPr>
      <dsp:spPr>
        <a:xfrm rot="5400000">
          <a:off x="3214737" y="1018460"/>
          <a:ext cx="428877" cy="46555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The extract is concentrated. </a:t>
          </a:r>
        </a:p>
      </dsp:txBody>
      <dsp:txXfrm rot="-5400000">
        <a:off x="1101381" y="3152752"/>
        <a:ext cx="4634653" cy="387005"/>
      </dsp:txXfrm>
    </dsp:sp>
    <dsp:sp modelId="{AE52AEF7-28EC-4FAB-9626-BCCF81D561DD}">
      <dsp:nvSpPr>
        <dsp:cNvPr id="0" name=""/>
        <dsp:cNvSpPr/>
      </dsp:nvSpPr>
      <dsp:spPr>
        <a:xfrm rot="5400000">
          <a:off x="-84563" y="4122411"/>
          <a:ext cx="1098287" cy="9291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Diafiltration	</a:t>
          </a:r>
        </a:p>
      </dsp:txBody>
      <dsp:txXfrm rot="-5400000">
        <a:off x="1" y="4502427"/>
        <a:ext cx="929160" cy="169127"/>
      </dsp:txXfrm>
    </dsp:sp>
    <dsp:sp modelId="{C9151472-84AF-4E9A-87E7-0699EC089A4B}">
      <dsp:nvSpPr>
        <dsp:cNvPr id="0" name=""/>
        <dsp:cNvSpPr/>
      </dsp:nvSpPr>
      <dsp:spPr>
        <a:xfrm rot="5400000">
          <a:off x="3003948" y="2062427"/>
          <a:ext cx="944959" cy="473879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The extract is washed.</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This concentrates the protein and removes anti-nutritional factors. e.g. erucic acid, polyphenols, phytic acid, glucosinolates. </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Sodium bisulphite may be used to stablise the colour and prevent off-colour, sulphite levels in the final product are less than 10ppm.</a:t>
          </a:r>
        </a:p>
      </dsp:txBody>
      <dsp:txXfrm rot="-5400000">
        <a:off x="1107029" y="4005476"/>
        <a:ext cx="4692670" cy="852701"/>
      </dsp:txXfrm>
    </dsp:sp>
    <dsp:sp modelId="{A8812651-7487-4DA9-A2AA-306DDFC0D6EE}">
      <dsp:nvSpPr>
        <dsp:cNvPr id="0" name=""/>
        <dsp:cNvSpPr/>
      </dsp:nvSpPr>
      <dsp:spPr>
        <a:xfrm rot="5400000">
          <a:off x="-115128" y="5180747"/>
          <a:ext cx="1128357" cy="86148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Drying</a:t>
          </a:r>
        </a:p>
      </dsp:txBody>
      <dsp:txXfrm rot="-5400000">
        <a:off x="18307" y="5478058"/>
        <a:ext cx="861489" cy="266868"/>
      </dsp:txXfrm>
    </dsp:sp>
    <dsp:sp modelId="{9982171F-3631-4B59-BFB9-BA76DA60B28C}">
      <dsp:nvSpPr>
        <dsp:cNvPr id="0" name=""/>
        <dsp:cNvSpPr/>
      </dsp:nvSpPr>
      <dsp:spPr>
        <a:xfrm rot="5400000">
          <a:off x="3281742" y="3017017"/>
          <a:ext cx="477391" cy="477148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Spray dried. </a:t>
          </a:r>
        </a:p>
      </dsp:txBody>
      <dsp:txXfrm rot="-5400000">
        <a:off x="1134695" y="5187368"/>
        <a:ext cx="4748182" cy="430783"/>
      </dsp:txXfrm>
    </dsp:sp>
    <dsp:sp modelId="{B9E483C2-9B1F-4BF6-8057-6AF49543D7D6}">
      <dsp:nvSpPr>
        <dsp:cNvPr id="0" name=""/>
        <dsp:cNvSpPr/>
      </dsp:nvSpPr>
      <dsp:spPr>
        <a:xfrm rot="5400000">
          <a:off x="-143273" y="6156907"/>
          <a:ext cx="1219211" cy="93266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Rapeseed protein</a:t>
          </a:r>
        </a:p>
      </dsp:txBody>
      <dsp:txXfrm rot="-5400000">
        <a:off x="1" y="6479967"/>
        <a:ext cx="932665" cy="286546"/>
      </dsp:txXfrm>
    </dsp:sp>
    <dsp:sp modelId="{E7FD20DD-CFB7-46F8-9A06-A616DF620B6B}">
      <dsp:nvSpPr>
        <dsp:cNvPr id="0" name=""/>
        <dsp:cNvSpPr/>
      </dsp:nvSpPr>
      <dsp:spPr>
        <a:xfrm rot="5400000">
          <a:off x="3239221" y="4021894"/>
          <a:ext cx="482020" cy="477148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Maltodextrin or other carbohydrate may be added to the end product, depending on customer needs.</a:t>
          </a:r>
          <a:endParaRPr lang="en-US" sz="900" b="1" kern="1200" baseline="0">
            <a:latin typeface="Arial" panose="020B0604020202020204" pitchFamily="34" charset="0"/>
            <a:cs typeface="Arial" panose="020B0604020202020204" pitchFamily="34" charset="0"/>
          </a:endParaRPr>
        </a:p>
      </dsp:txBody>
      <dsp:txXfrm rot="-5400000">
        <a:off x="1094488" y="6190157"/>
        <a:ext cx="4747956" cy="4349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2446F6-A41F-48E8-A75F-0A30089304A6}"/>
</file>

<file path=customXml/itemProps2.xml><?xml version="1.0" encoding="utf-8"?>
<ds:datastoreItem xmlns:ds="http://schemas.openxmlformats.org/officeDocument/2006/customXml" ds:itemID="{E2C87B21-B548-4D46-AF13-00417A8E14F8}"/>
</file>

<file path=customXml/itemProps3.xml><?xml version="1.0" encoding="utf-8"?>
<ds:datastoreItem xmlns:ds="http://schemas.openxmlformats.org/officeDocument/2006/customXml" ds:itemID="{C031D62B-5E23-4619-A801-6B5F0485FFD4}"/>
</file>

<file path=customXml/itemProps4.xml><?xml version="1.0" encoding="utf-8"?>
<ds:datastoreItem xmlns:ds="http://schemas.openxmlformats.org/officeDocument/2006/customXml" ds:itemID="{6229B074-0EDA-49B6-BDEF-331547D9372C}"/>
</file>

<file path=docProps/app.xml><?xml version="1.0" encoding="utf-8"?>
<Properties xmlns="http://schemas.openxmlformats.org/officeDocument/2006/extended-properties" xmlns:vt="http://schemas.openxmlformats.org/officeDocument/2006/docPropsVTypes">
  <Template>Normal</Template>
  <TotalTime>0</TotalTime>
  <Pages>60</Pages>
  <Words>25205</Words>
  <Characters>143674</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2020-12-14T09:07:00Z</dcterms:created>
  <dcterms:modified xsi:type="dcterms:W3CDTF">2020-12-14T09:07:00Z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09202ef0-f552-4276-97da-0f8e753be633</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0x010100CB2FFA9FD6109347A9495CD5860AFAE6</vt:lpwstr>
  </property>
</Properties>
</file>